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60B1B927"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w:t>
      </w:r>
      <w:r w:rsidR="006522E4">
        <w:rPr>
          <w:rFonts w:ascii="Arial" w:hAnsi="Arial" w:cs="Arial"/>
          <w:b/>
          <w:bCs/>
          <w:sz w:val="28"/>
        </w:rPr>
        <w:t>303</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3B1FF971"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7204B">
        <w:rPr>
          <w:rFonts w:ascii="Arial" w:hAnsi="Arial" w:cs="Arial"/>
          <w:snapToGrid w:val="0"/>
          <w:sz w:val="24"/>
        </w:rPr>
        <w:t>11</w:t>
      </w:r>
      <w:r>
        <w:rPr>
          <w:rFonts w:ascii="Arial" w:hAnsi="Arial" w:cs="Arial"/>
          <w:snapToGrid w:val="0"/>
          <w:sz w:val="24"/>
        </w:rPr>
        <w:t>.</w:t>
      </w:r>
      <w:r w:rsidR="00335B11">
        <w:rPr>
          <w:rFonts w:ascii="Arial" w:hAnsi="Arial" w:cs="Arial"/>
          <w:snapToGrid w:val="0"/>
          <w:sz w:val="24"/>
        </w:rPr>
        <w:t>1</w:t>
      </w:r>
      <w:r w:rsidR="0047204B">
        <w:rPr>
          <w:rFonts w:ascii="Arial" w:hAnsi="Arial" w:cs="Arial"/>
          <w:snapToGrid w:val="0"/>
          <w:sz w:val="24"/>
        </w:rPr>
        <w:t>.</w:t>
      </w:r>
      <w:r w:rsidR="00771FD7">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4FF0D4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6522E4">
        <w:rPr>
          <w:rFonts w:ascii="Arial" w:hAnsi="Arial" w:cs="Arial"/>
          <w:snapToGrid w:val="0"/>
          <w:sz w:val="24"/>
        </w:rPr>
        <w:t>Downlink</w:t>
      </w:r>
      <w:r w:rsidR="0047204B">
        <w:rPr>
          <w:rFonts w:ascii="Arial" w:hAnsi="Arial" w:cs="Arial"/>
          <w:snapToGrid w:val="0"/>
          <w:sz w:val="24"/>
        </w:rPr>
        <w:t>-based narrowband positioning</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NB-IoT</w:t>
      </w:r>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124C31EB"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6B0ADC">
        <w:rPr>
          <w:rFonts w:ascii="Times New Roman"/>
          <w:snapToGrid w:val="0"/>
          <w:kern w:val="0"/>
          <w:sz w:val="22"/>
          <w:szCs w:val="22"/>
          <w:lang w:val="en-GB"/>
        </w:rPr>
        <w:t>downlink</w:t>
      </w:r>
      <w:r w:rsidR="0047204B">
        <w:rPr>
          <w:rFonts w:ascii="Times New Roman"/>
          <w:snapToGrid w:val="0"/>
          <w:kern w:val="0"/>
          <w:sz w:val="22"/>
          <w:szCs w:val="22"/>
          <w:lang w:val="en-GB"/>
        </w:rPr>
        <w:t xml:space="preserve"> based positioning</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1B6E6076" w:rsidR="00547160"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and procedures for </w:t>
      </w:r>
      <w:r w:rsidR="00BC099F">
        <w:rPr>
          <w:rFonts w:ascii="Arial" w:hAnsi="Arial" w:cs="Arial"/>
          <w:lang w:val="en-US"/>
        </w:rPr>
        <w:t>downlink</w:t>
      </w:r>
      <w:r>
        <w:rPr>
          <w:rFonts w:ascii="Arial" w:hAnsi="Arial" w:cs="Arial"/>
          <w:lang w:val="en-US"/>
        </w:rPr>
        <w:t>-based positioning</w:t>
      </w:r>
    </w:p>
    <w:p w14:paraId="0CF7109F" w14:textId="7F26A538" w:rsidR="00CB0455" w:rsidRDefault="0047204B" w:rsidP="00E3751B">
      <w:pPr>
        <w:pStyle w:val="LGTdoc1"/>
        <w:spacing w:beforeLines="0" w:before="120" w:after="220" w:afterAutospacing="0"/>
        <w:rPr>
          <w:b w:val="0"/>
          <w:sz w:val="22"/>
          <w:szCs w:val="22"/>
        </w:rPr>
      </w:pPr>
      <w:r>
        <w:rPr>
          <w:b w:val="0"/>
          <w:sz w:val="22"/>
          <w:szCs w:val="22"/>
        </w:rPr>
        <w:t xml:space="preserve">For narrowband positioning, </w:t>
      </w:r>
      <w:r w:rsidR="00CB0455">
        <w:rPr>
          <w:b w:val="0"/>
          <w:sz w:val="22"/>
          <w:szCs w:val="22"/>
        </w:rPr>
        <w:t>one option is to follow a design similar to legacy PRS. The processing of this signal usually involves an IFFT operation to obtain the channel impulse response in the time domain, from which the time delay can be derived. In Figure 1 we show an example of (N)PRS configuration. In this particular example, we do not consider the presence of NRS, since an NB-IoT UE may be able to reuse a portion of a wideband PRS signal to obtain the timing information. If deployed in an NB-IoT PRB, collision with NRS should be considered.</w:t>
      </w:r>
    </w:p>
    <w:p w14:paraId="6B489DCB" w14:textId="77777777" w:rsidR="00CB0455" w:rsidRDefault="00CB0455" w:rsidP="00CB0455">
      <w:pPr>
        <w:pStyle w:val="LGTdoc1"/>
        <w:keepNext/>
        <w:spacing w:beforeLines="0" w:before="120" w:after="220" w:afterAutospacing="0"/>
        <w:jc w:val="center"/>
      </w:pPr>
      <w:r>
        <w:rPr>
          <w:b w:val="0"/>
          <w:sz w:val="22"/>
          <w:szCs w:val="22"/>
        </w:rPr>
        <w:object w:dxaOrig="7214" w:dyaOrig="4177" w14:anchorId="6CE9B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09.1pt" o:ole="">
            <v:imagedata r:id="rId14" o:title=""/>
          </v:shape>
          <o:OLEObject Type="Embed" ProgID="Visio.Drawing.11" ShapeID="_x0000_i1025" DrawAspect="Content" ObjectID="_1532449450" r:id="rId15"/>
        </w:object>
      </w:r>
    </w:p>
    <w:p w14:paraId="7BFB9C1A" w14:textId="21057D5D" w:rsidR="00CB0455" w:rsidRDefault="00CB0455" w:rsidP="00CB0455">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(N)PRS configuration. If a common design is kept, a NB-IoT UE could be able to reuse a portion of legacy PRS for positioning.</w:t>
      </w:r>
    </w:p>
    <w:p w14:paraId="089D53C0" w14:textId="09DA0734" w:rsidR="00CB0455" w:rsidRDefault="00CB0455" w:rsidP="00E3751B">
      <w:pPr>
        <w:pStyle w:val="LGTdoc1"/>
        <w:spacing w:beforeLines="0" w:before="120" w:after="220" w:afterAutospacing="0"/>
        <w:rPr>
          <w:b w:val="0"/>
          <w:sz w:val="22"/>
          <w:szCs w:val="22"/>
        </w:rPr>
      </w:pPr>
      <w:r>
        <w:rPr>
          <w:b w:val="0"/>
          <w:sz w:val="22"/>
          <w:szCs w:val="22"/>
        </w:rPr>
        <w:t xml:space="preserve">One of the main drawbacks of PRS is that it requires additional processing to perform IFFT, which may increase the complexity or power consumption of a UE. In this contribution, we consider also de introduction of a different reference signal for positioning which does not require IFFT operation. The design of this signal is similar to NPRACH design, and from which the timing delay can be obtained as a phase differential. </w:t>
      </w:r>
      <w:r w:rsidR="009B3B2E">
        <w:rPr>
          <w:b w:val="0"/>
          <w:sz w:val="22"/>
          <w:szCs w:val="22"/>
        </w:rPr>
        <w:t>In Figure 2 we depict the structure of this NPRS signal. The processing can be performed as follows:</w:t>
      </w:r>
    </w:p>
    <w:p w14:paraId="050E1F79" w14:textId="2B6ACFCD" w:rsidR="009B3B2E" w:rsidRDefault="009B3B2E" w:rsidP="009B3B2E">
      <w:pPr>
        <w:pStyle w:val="LGTdoc1"/>
        <w:numPr>
          <w:ilvl w:val="0"/>
          <w:numId w:val="12"/>
        </w:numPr>
        <w:spacing w:beforeLines="0" w:before="120" w:after="220" w:afterAutospacing="0"/>
        <w:rPr>
          <w:b w:val="0"/>
          <w:sz w:val="22"/>
          <w:szCs w:val="22"/>
        </w:rPr>
      </w:pPr>
      <w:r>
        <w:rPr>
          <w:b w:val="0"/>
          <w:sz w:val="22"/>
          <w:szCs w:val="22"/>
        </w:rPr>
        <w:t>For a given subframe, average all the resources in the same subcarrier. This gives an SNR gain of around 9dB.</w:t>
      </w:r>
    </w:p>
    <w:p w14:paraId="08471E87" w14:textId="2F83CD00" w:rsidR="009B3B2E" w:rsidRDefault="009B3B2E" w:rsidP="009B3B2E">
      <w:pPr>
        <w:pStyle w:val="LGTdoc1"/>
        <w:numPr>
          <w:ilvl w:val="0"/>
          <w:numId w:val="12"/>
        </w:numPr>
        <w:spacing w:beforeLines="0" w:before="120" w:after="220" w:afterAutospacing="0"/>
        <w:rPr>
          <w:b w:val="0"/>
          <w:sz w:val="22"/>
          <w:szCs w:val="22"/>
        </w:rPr>
      </w:pPr>
      <w:r>
        <w:rPr>
          <w:b w:val="0"/>
          <w:sz w:val="22"/>
          <w:szCs w:val="22"/>
        </w:rPr>
        <w:lastRenderedPageBreak/>
        <w:t xml:space="preserve">Perform phase differential with the other resources in the same subframe, and also in the next subframe (this </w:t>
      </w:r>
      <w:r>
        <w:rPr>
          <w:b w:val="0"/>
          <w:i/>
          <w:sz w:val="22"/>
          <w:szCs w:val="22"/>
        </w:rPr>
        <w:t>small hop</w:t>
      </w:r>
      <w:r>
        <w:rPr>
          <w:b w:val="0"/>
          <w:sz w:val="22"/>
          <w:szCs w:val="22"/>
        </w:rPr>
        <w:t xml:space="preserve"> allows to resolve ambiguities for the cases of large delays).</w:t>
      </w:r>
    </w:p>
    <w:p w14:paraId="7D920A2B" w14:textId="6E8FB35C" w:rsidR="009C02D5" w:rsidRDefault="009B3B2E" w:rsidP="00E3751B">
      <w:pPr>
        <w:pStyle w:val="LGTdoc1"/>
        <w:spacing w:beforeLines="0" w:before="120" w:after="220" w:afterAutospacing="0"/>
        <w:rPr>
          <w:b w:val="0"/>
          <w:sz w:val="22"/>
          <w:szCs w:val="22"/>
        </w:rPr>
      </w:pPr>
      <w:r>
        <w:rPr>
          <w:b w:val="0"/>
          <w:sz w:val="22"/>
          <w:szCs w:val="22"/>
        </w:rPr>
        <w:t>This processing requires two complex averages per subframe (one for each subcarrier) and 2-3 products per subframe (one with the other tone in the same subframe, and one with each of the adjacent subframes). A maximum of 6 cells can be detected simultaneously with this signal, with the corresponding scaling in complexity. If more cells are desired to be detected simultaneously, the NPRS can use orthogonal sequences (which may not be efficient if some of the cells are observed with a large delay), or can be TDM in different subframes/sequences of subframes.</w:t>
      </w:r>
    </w:p>
    <w:p w14:paraId="295FAB5A" w14:textId="0A2C97D0" w:rsidR="00E3751B" w:rsidRDefault="009B3B2E" w:rsidP="009B3B2E">
      <w:pPr>
        <w:pStyle w:val="LGTdoc1"/>
        <w:spacing w:beforeLines="0" w:before="120" w:after="220" w:afterAutospacing="0"/>
        <w:jc w:val="center"/>
      </w:pPr>
      <w:r>
        <w:rPr>
          <w:b w:val="0"/>
          <w:sz w:val="22"/>
          <w:szCs w:val="22"/>
        </w:rPr>
        <w:object w:dxaOrig="11253" w:dyaOrig="4372" w14:anchorId="0FE5276C">
          <v:shape id="_x0000_i1026" type="#_x0000_t75" style="width:562.85pt;height:218.5pt" o:ole="">
            <v:imagedata r:id="rId16" o:title=""/>
          </v:shape>
          <o:OLEObject Type="Embed" ProgID="Visio.Drawing.11" ShapeID="_x0000_i1026" DrawAspect="Content" ObjectID="_1532449451" r:id="rId17"/>
        </w:object>
      </w:r>
      <w:r>
        <w:rPr>
          <w:b w:val="0"/>
          <w:sz w:val="22"/>
          <w:szCs w:val="22"/>
        </w:rPr>
        <w:tab/>
      </w:r>
      <w:r w:rsidR="00E3751B" w:rsidRPr="009B3B2E">
        <w:rPr>
          <w:snapToGrid/>
          <w:sz w:val="20"/>
          <w:lang w:eastAsia="en-US"/>
        </w:rPr>
        <w:t xml:space="preserve">Figure </w:t>
      </w:r>
      <w:r w:rsidR="00E3751B" w:rsidRPr="009B3B2E">
        <w:rPr>
          <w:snapToGrid/>
          <w:sz w:val="20"/>
          <w:lang w:eastAsia="en-US"/>
        </w:rPr>
        <w:fldChar w:fldCharType="begin"/>
      </w:r>
      <w:r w:rsidR="00E3751B" w:rsidRPr="009B3B2E">
        <w:rPr>
          <w:snapToGrid/>
          <w:sz w:val="20"/>
          <w:lang w:eastAsia="en-US"/>
        </w:rPr>
        <w:instrText xml:space="preserve"> SEQ Figure \* ARABIC </w:instrText>
      </w:r>
      <w:r w:rsidR="00E3751B" w:rsidRPr="009B3B2E">
        <w:rPr>
          <w:snapToGrid/>
          <w:sz w:val="20"/>
          <w:lang w:eastAsia="en-US"/>
        </w:rPr>
        <w:fldChar w:fldCharType="separate"/>
      </w:r>
      <w:r w:rsidR="00CB0455" w:rsidRPr="009B3B2E">
        <w:rPr>
          <w:snapToGrid/>
          <w:sz w:val="20"/>
          <w:lang w:eastAsia="en-US"/>
        </w:rPr>
        <w:t>2</w:t>
      </w:r>
      <w:r w:rsidR="00E3751B" w:rsidRPr="009B3B2E">
        <w:rPr>
          <w:snapToGrid/>
          <w:sz w:val="20"/>
          <w:lang w:eastAsia="en-US"/>
        </w:rPr>
        <w:fldChar w:fldCharType="end"/>
      </w:r>
      <w:r w:rsidR="00E3751B" w:rsidRPr="009B3B2E">
        <w:rPr>
          <w:snapToGrid/>
          <w:sz w:val="20"/>
          <w:lang w:eastAsia="en-US"/>
        </w:rPr>
        <w:t xml:space="preserve"> NPRS structure based on repeat-and-stagger</w:t>
      </w:r>
    </w:p>
    <w:p w14:paraId="1410A294" w14:textId="69BAFF93" w:rsidR="00AC1624" w:rsidRDefault="00E3751B" w:rsidP="009B3B2E">
      <w:pPr>
        <w:pStyle w:val="LGTdoc1"/>
        <w:spacing w:beforeLines="0" w:before="120" w:after="220" w:afterAutospacing="0"/>
        <w:rPr>
          <w:b w:val="0"/>
          <w:sz w:val="22"/>
          <w:szCs w:val="22"/>
        </w:rPr>
      </w:pPr>
      <w:r>
        <w:rPr>
          <w:b w:val="0"/>
          <w:sz w:val="22"/>
          <w:szCs w:val="22"/>
        </w:rPr>
        <w:t xml:space="preserve">This signal structure offers the </w:t>
      </w:r>
      <w:r w:rsidR="009B3B2E">
        <w:rPr>
          <w:b w:val="0"/>
          <w:sz w:val="22"/>
          <w:szCs w:val="22"/>
        </w:rPr>
        <w:t>advantage of simplified processing: u</w:t>
      </w:r>
      <w:r w:rsidR="00AC1624">
        <w:rPr>
          <w:b w:val="0"/>
          <w:sz w:val="22"/>
          <w:szCs w:val="22"/>
        </w:rPr>
        <w:t>nlike legacy PRS, which requires the use of IDFT to obtain the channel impulse response, the processing of NPRS can be performed directly in the frequency domain by performing a phase differential between the different stagger periods.</w:t>
      </w:r>
      <w:r w:rsidR="009B3B2E">
        <w:rPr>
          <w:b w:val="0"/>
          <w:sz w:val="22"/>
          <w:szCs w:val="22"/>
        </w:rPr>
        <w:t xml:space="preserve"> In the remaining of the contribution, we evaluate the performance of the NPRS structure shown in Figure 2.</w:t>
      </w:r>
    </w:p>
    <w:p w14:paraId="53C2DF62" w14:textId="77777777" w:rsidR="00E3751B" w:rsidRDefault="00E3751B" w:rsidP="00E3751B">
      <w:pPr>
        <w:pStyle w:val="LGTdoc1"/>
        <w:spacing w:beforeLines="0" w:before="120" w:after="220" w:afterAutospacing="0"/>
        <w:rPr>
          <w:b w:val="0"/>
          <w:sz w:val="22"/>
          <w:szCs w:val="22"/>
        </w:rPr>
      </w:pPr>
      <w:bookmarkStart w:id="2" w:name="_GoBack"/>
      <w:bookmarkEnd w:id="2"/>
    </w:p>
    <w:p w14:paraId="4716EEFD" w14:textId="2CF007DB" w:rsidR="0047204B"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3512D4DB" w14:textId="76FBAFA4" w:rsidR="0047204B" w:rsidRDefault="00E44B40" w:rsidP="0047204B">
      <w:pPr>
        <w:pStyle w:val="LGTdoc1"/>
        <w:spacing w:beforeLines="0" w:before="120" w:after="220" w:afterAutospacing="0"/>
        <w:rPr>
          <w:b w:val="0"/>
          <w:sz w:val="22"/>
          <w:szCs w:val="22"/>
        </w:rPr>
      </w:pPr>
      <w:r w:rsidRPr="00E44B40">
        <w:rPr>
          <w:b w:val="0"/>
          <w:sz w:val="22"/>
          <w:szCs w:val="22"/>
        </w:rPr>
        <w:t>W</w:t>
      </w:r>
      <w:r>
        <w:rPr>
          <w:b w:val="0"/>
          <w:sz w:val="22"/>
          <w:szCs w:val="22"/>
        </w:rPr>
        <w:t xml:space="preserve">e evaluated the accuracy of </w:t>
      </w:r>
      <w:r w:rsidR="00BC099F">
        <w:rPr>
          <w:b w:val="0"/>
          <w:sz w:val="22"/>
          <w:szCs w:val="22"/>
        </w:rPr>
        <w:t>NPRS-based</w:t>
      </w:r>
      <w:r>
        <w:rPr>
          <w:b w:val="0"/>
          <w:sz w:val="22"/>
          <w:szCs w:val="22"/>
        </w:rPr>
        <w:t xml:space="preserve"> timing acquisition for different scenarios. The simulation assumptions are described in Table 1. </w:t>
      </w:r>
    </w:p>
    <w:p w14:paraId="263BF6D2" w14:textId="77777777" w:rsidR="00E44B40" w:rsidRDefault="00E44B40" w:rsidP="0047204B">
      <w:pPr>
        <w:pStyle w:val="LGTdoc1"/>
        <w:spacing w:beforeLines="0" w:before="120" w:after="220" w:afterAutospacing="0"/>
        <w:rPr>
          <w:b w:val="0"/>
          <w:sz w:val="22"/>
          <w:szCs w:val="22"/>
        </w:rPr>
      </w:pPr>
    </w:p>
    <w:p w14:paraId="308E2A9A" w14:textId="77777777" w:rsidR="009B3B2E" w:rsidRDefault="009B3B2E" w:rsidP="0047204B">
      <w:pPr>
        <w:pStyle w:val="LGTdoc1"/>
        <w:spacing w:beforeLines="0" w:before="120" w:after="220" w:afterAutospacing="0"/>
        <w:rPr>
          <w:b w:val="0"/>
          <w:sz w:val="22"/>
          <w:szCs w:val="22"/>
        </w:rPr>
      </w:pPr>
    </w:p>
    <w:p w14:paraId="590531E2" w14:textId="77777777" w:rsidR="009B3B2E" w:rsidRDefault="009B3B2E" w:rsidP="0047204B">
      <w:pPr>
        <w:pStyle w:val="LGTdoc1"/>
        <w:spacing w:beforeLines="0" w:before="120" w:after="220" w:afterAutospacing="0"/>
        <w:rPr>
          <w:b w:val="0"/>
          <w:sz w:val="22"/>
          <w:szCs w:val="22"/>
        </w:rPr>
      </w:pPr>
    </w:p>
    <w:p w14:paraId="107D71F8" w14:textId="6FC377CA" w:rsidR="001A1D1C" w:rsidRDefault="001A1D1C" w:rsidP="001A1D1C">
      <w:pPr>
        <w:pStyle w:val="Caption"/>
        <w:keepNext/>
        <w:jc w:val="center"/>
      </w:pPr>
      <w:r>
        <w:t xml:space="preserve">Table </w:t>
      </w:r>
      <w:r>
        <w:fldChar w:fldCharType="begin"/>
      </w:r>
      <w:r>
        <w:instrText xml:space="preserve"> SEQ Table \* ARABIC </w:instrText>
      </w:r>
      <w:r>
        <w:fldChar w:fldCharType="separate"/>
      </w:r>
      <w:r w:rsidR="00CA7B1E">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E44B40" w14:paraId="3B8568B2" w14:textId="77777777" w:rsidTr="00E44B40">
        <w:tc>
          <w:tcPr>
            <w:tcW w:w="4681" w:type="dxa"/>
          </w:tcPr>
          <w:p w14:paraId="32752040" w14:textId="235038CA" w:rsidR="00E44B40" w:rsidRPr="00E44B40" w:rsidRDefault="00E44B40" w:rsidP="0047204B">
            <w:pPr>
              <w:pStyle w:val="LGTdoc1"/>
              <w:spacing w:beforeLines="0" w:before="120" w:after="220" w:afterAutospacing="0"/>
              <w:rPr>
                <w:b w:val="0"/>
                <w:sz w:val="22"/>
                <w:szCs w:val="22"/>
              </w:rPr>
            </w:pPr>
            <w:r>
              <w:rPr>
                <w:b w:val="0"/>
                <w:sz w:val="22"/>
                <w:szCs w:val="22"/>
              </w:rPr>
              <w:t>Channel model</w:t>
            </w:r>
          </w:p>
        </w:tc>
        <w:tc>
          <w:tcPr>
            <w:tcW w:w="4681" w:type="dxa"/>
          </w:tcPr>
          <w:p w14:paraId="52630360" w14:textId="579F5641" w:rsidR="00E44B40" w:rsidRPr="00E44B40" w:rsidRDefault="00E44B40" w:rsidP="0047204B">
            <w:pPr>
              <w:pStyle w:val="LGTdoc1"/>
              <w:spacing w:beforeLines="0" w:before="120" w:after="220" w:afterAutospacing="0"/>
              <w:rPr>
                <w:b w:val="0"/>
                <w:sz w:val="22"/>
                <w:szCs w:val="22"/>
              </w:rPr>
            </w:pPr>
            <w:r w:rsidRPr="00E44B40">
              <w:rPr>
                <w:b w:val="0"/>
                <w:sz w:val="22"/>
                <w:szCs w:val="22"/>
              </w:rPr>
              <w:t>AWGN, TU1</w:t>
            </w:r>
          </w:p>
        </w:tc>
      </w:tr>
      <w:tr w:rsidR="00E44B40" w14:paraId="587B8EF3" w14:textId="77777777" w:rsidTr="00E44B40">
        <w:tc>
          <w:tcPr>
            <w:tcW w:w="4681" w:type="dxa"/>
          </w:tcPr>
          <w:p w14:paraId="080E40F2" w14:textId="174A7513" w:rsidR="00E44B40" w:rsidRDefault="00E44B40" w:rsidP="00BC099F">
            <w:pPr>
              <w:pStyle w:val="LGTdoc1"/>
              <w:spacing w:beforeLines="0" w:before="120" w:after="220" w:afterAutospacing="0"/>
              <w:rPr>
                <w:b w:val="0"/>
                <w:sz w:val="22"/>
                <w:szCs w:val="22"/>
              </w:rPr>
            </w:pPr>
            <w:r>
              <w:rPr>
                <w:b w:val="0"/>
                <w:sz w:val="22"/>
                <w:szCs w:val="22"/>
              </w:rPr>
              <w:t xml:space="preserve">Number of </w:t>
            </w:r>
            <w:r w:rsidR="00BC099F">
              <w:rPr>
                <w:b w:val="0"/>
                <w:sz w:val="22"/>
                <w:szCs w:val="22"/>
              </w:rPr>
              <w:t xml:space="preserve">UE </w:t>
            </w:r>
            <w:r>
              <w:rPr>
                <w:b w:val="0"/>
                <w:sz w:val="22"/>
                <w:szCs w:val="22"/>
              </w:rPr>
              <w:t xml:space="preserve">Rx </w:t>
            </w:r>
            <w:r w:rsidR="00CA7B1E">
              <w:rPr>
                <w:b w:val="0"/>
                <w:sz w:val="22"/>
                <w:szCs w:val="22"/>
              </w:rPr>
              <w:t>antennas</w:t>
            </w:r>
          </w:p>
        </w:tc>
        <w:tc>
          <w:tcPr>
            <w:tcW w:w="4681" w:type="dxa"/>
          </w:tcPr>
          <w:p w14:paraId="25DE33F2" w14:textId="4BF2AD50" w:rsidR="00E44B40" w:rsidRDefault="00BC099F" w:rsidP="0047204B">
            <w:pPr>
              <w:pStyle w:val="LGTdoc1"/>
              <w:spacing w:beforeLines="0" w:before="120" w:after="220" w:afterAutospacing="0"/>
              <w:rPr>
                <w:b w:val="0"/>
                <w:sz w:val="22"/>
                <w:szCs w:val="22"/>
              </w:rPr>
            </w:pPr>
            <w:r>
              <w:rPr>
                <w:b w:val="0"/>
                <w:sz w:val="22"/>
                <w:szCs w:val="22"/>
              </w:rPr>
              <w:t>1</w:t>
            </w:r>
          </w:p>
        </w:tc>
      </w:tr>
      <w:tr w:rsidR="00E44B40" w14:paraId="40A2105D" w14:textId="77777777" w:rsidTr="00E44B40">
        <w:tc>
          <w:tcPr>
            <w:tcW w:w="4681" w:type="dxa"/>
          </w:tcPr>
          <w:p w14:paraId="1727D76C" w14:textId="3524FF58" w:rsidR="00E44B40" w:rsidRDefault="006B0ADC" w:rsidP="0047204B">
            <w:pPr>
              <w:pStyle w:val="LGTdoc1"/>
              <w:spacing w:beforeLines="0" w:before="120" w:after="220" w:afterAutospacing="0"/>
              <w:rPr>
                <w:b w:val="0"/>
                <w:sz w:val="22"/>
                <w:szCs w:val="22"/>
              </w:rPr>
            </w:pPr>
            <w:r>
              <w:rPr>
                <w:b w:val="0"/>
                <w:sz w:val="22"/>
                <w:szCs w:val="22"/>
              </w:rPr>
              <w:t xml:space="preserve">eNB </w:t>
            </w:r>
            <w:r w:rsidR="009C02D5">
              <w:rPr>
                <w:b w:val="0"/>
                <w:sz w:val="22"/>
                <w:szCs w:val="22"/>
              </w:rPr>
              <w:t xml:space="preserve">total </w:t>
            </w:r>
            <w:r>
              <w:rPr>
                <w:b w:val="0"/>
                <w:sz w:val="22"/>
                <w:szCs w:val="22"/>
              </w:rPr>
              <w:t>Tx power</w:t>
            </w:r>
          </w:p>
        </w:tc>
        <w:tc>
          <w:tcPr>
            <w:tcW w:w="4681" w:type="dxa"/>
          </w:tcPr>
          <w:p w14:paraId="6E800739" w14:textId="33ADA9D7" w:rsidR="00E44B40" w:rsidRDefault="006B0ADC" w:rsidP="0047204B">
            <w:pPr>
              <w:pStyle w:val="LGTdoc1"/>
              <w:spacing w:beforeLines="0" w:before="120" w:after="220" w:afterAutospacing="0"/>
              <w:rPr>
                <w:b w:val="0"/>
                <w:sz w:val="22"/>
                <w:szCs w:val="22"/>
              </w:rPr>
            </w:pPr>
            <w:r>
              <w:rPr>
                <w:b w:val="0"/>
                <w:sz w:val="22"/>
                <w:szCs w:val="22"/>
              </w:rPr>
              <w:t>46</w:t>
            </w:r>
            <w:r w:rsidR="00E44B40">
              <w:rPr>
                <w:b w:val="0"/>
                <w:sz w:val="22"/>
                <w:szCs w:val="22"/>
              </w:rPr>
              <w:t>dBm</w:t>
            </w:r>
          </w:p>
        </w:tc>
      </w:tr>
      <w:tr w:rsidR="006B0ADC" w14:paraId="6330AF2C" w14:textId="77777777" w:rsidTr="00E44B40">
        <w:tc>
          <w:tcPr>
            <w:tcW w:w="4681" w:type="dxa"/>
          </w:tcPr>
          <w:p w14:paraId="742876DB" w14:textId="5DBD22B8" w:rsidR="006B0ADC" w:rsidRDefault="006B0ADC" w:rsidP="0047204B">
            <w:pPr>
              <w:pStyle w:val="LGTdoc1"/>
              <w:spacing w:beforeLines="0" w:before="120" w:after="220" w:afterAutospacing="0"/>
              <w:rPr>
                <w:b w:val="0"/>
                <w:sz w:val="22"/>
                <w:szCs w:val="22"/>
              </w:rPr>
            </w:pPr>
            <w:r>
              <w:rPr>
                <w:b w:val="0"/>
                <w:sz w:val="22"/>
                <w:szCs w:val="22"/>
              </w:rPr>
              <w:t>Deployment type</w:t>
            </w:r>
          </w:p>
        </w:tc>
        <w:tc>
          <w:tcPr>
            <w:tcW w:w="4681" w:type="dxa"/>
          </w:tcPr>
          <w:p w14:paraId="4F64A592" w14:textId="3BE9D0B9" w:rsidR="006B0ADC" w:rsidRDefault="006B0ADC" w:rsidP="0047204B">
            <w:pPr>
              <w:pStyle w:val="LGTdoc1"/>
              <w:spacing w:beforeLines="0" w:before="120" w:after="220" w:afterAutospacing="0"/>
              <w:rPr>
                <w:b w:val="0"/>
                <w:sz w:val="22"/>
                <w:szCs w:val="22"/>
              </w:rPr>
            </w:pPr>
            <w:r>
              <w:rPr>
                <w:b w:val="0"/>
                <w:sz w:val="22"/>
                <w:szCs w:val="22"/>
              </w:rPr>
              <w:t>In-band</w:t>
            </w:r>
          </w:p>
        </w:tc>
      </w:tr>
      <w:tr w:rsidR="00E44B40" w14:paraId="2FB7EC0A" w14:textId="77777777" w:rsidTr="00E44B40">
        <w:tc>
          <w:tcPr>
            <w:tcW w:w="4681" w:type="dxa"/>
          </w:tcPr>
          <w:p w14:paraId="245AA6F7" w14:textId="6578AD5B" w:rsidR="00E44B40" w:rsidRDefault="00E44B40" w:rsidP="0047204B">
            <w:pPr>
              <w:pStyle w:val="LGTdoc1"/>
              <w:spacing w:beforeLines="0" w:before="120" w:after="220" w:afterAutospacing="0"/>
              <w:rPr>
                <w:b w:val="0"/>
                <w:sz w:val="22"/>
                <w:szCs w:val="22"/>
              </w:rPr>
            </w:pPr>
            <w:r>
              <w:rPr>
                <w:b w:val="0"/>
                <w:sz w:val="22"/>
                <w:szCs w:val="22"/>
              </w:rPr>
              <w:lastRenderedPageBreak/>
              <w:t>Frequency error</w:t>
            </w:r>
          </w:p>
        </w:tc>
        <w:tc>
          <w:tcPr>
            <w:tcW w:w="4681" w:type="dxa"/>
          </w:tcPr>
          <w:p w14:paraId="44C409C7" w14:textId="619F5872" w:rsidR="00E44B40" w:rsidRDefault="00E44B40" w:rsidP="0047204B">
            <w:pPr>
              <w:pStyle w:val="LGTdoc1"/>
              <w:spacing w:beforeLines="0" w:before="120" w:after="220" w:afterAutospacing="0"/>
              <w:rPr>
                <w:b w:val="0"/>
                <w:sz w:val="22"/>
                <w:szCs w:val="22"/>
              </w:rPr>
            </w:pPr>
            <w:r>
              <w:rPr>
                <w:b w:val="0"/>
                <w:sz w:val="22"/>
                <w:szCs w:val="22"/>
              </w:rPr>
              <w:t>50Hz</w:t>
            </w:r>
          </w:p>
        </w:tc>
      </w:tr>
      <w:tr w:rsidR="00E44B40" w14:paraId="6FE83379" w14:textId="77777777" w:rsidTr="00E44B40">
        <w:tc>
          <w:tcPr>
            <w:tcW w:w="4681" w:type="dxa"/>
          </w:tcPr>
          <w:p w14:paraId="3DE6FFD1" w14:textId="5525D030" w:rsidR="00E44B40" w:rsidRDefault="006B0ADC" w:rsidP="0047204B">
            <w:pPr>
              <w:pStyle w:val="LGTdoc1"/>
              <w:spacing w:beforeLines="0" w:before="120" w:after="220" w:afterAutospacing="0"/>
              <w:rPr>
                <w:b w:val="0"/>
                <w:sz w:val="22"/>
                <w:szCs w:val="22"/>
              </w:rPr>
            </w:pPr>
            <w:r>
              <w:rPr>
                <w:b w:val="0"/>
                <w:sz w:val="22"/>
                <w:szCs w:val="22"/>
              </w:rPr>
              <w:t>Observation period</w:t>
            </w:r>
          </w:p>
        </w:tc>
        <w:tc>
          <w:tcPr>
            <w:tcW w:w="4681" w:type="dxa"/>
          </w:tcPr>
          <w:p w14:paraId="61F0DA01" w14:textId="060E47D5" w:rsidR="00E44B40" w:rsidRDefault="006B0ADC" w:rsidP="006B0ADC">
            <w:pPr>
              <w:pStyle w:val="LGTdoc1"/>
              <w:spacing w:beforeLines="0" w:before="120" w:after="220" w:afterAutospacing="0"/>
              <w:rPr>
                <w:b w:val="0"/>
                <w:sz w:val="22"/>
                <w:szCs w:val="22"/>
              </w:rPr>
            </w:pPr>
            <w:r>
              <w:rPr>
                <w:b w:val="0"/>
                <w:sz w:val="22"/>
                <w:szCs w:val="22"/>
              </w:rPr>
              <w:t>14- 6963ms</w:t>
            </w:r>
          </w:p>
        </w:tc>
      </w:tr>
    </w:tbl>
    <w:p w14:paraId="431A38CE" w14:textId="6C1B34A2" w:rsidR="001A1D1C" w:rsidRDefault="001A1D1C" w:rsidP="0047204B">
      <w:pPr>
        <w:pStyle w:val="LGTdoc1"/>
        <w:spacing w:beforeLines="0" w:before="120" w:after="220" w:afterAutospacing="0"/>
        <w:rPr>
          <w:b w:val="0"/>
          <w:sz w:val="22"/>
          <w:szCs w:val="22"/>
        </w:rPr>
      </w:pPr>
      <w:r>
        <w:rPr>
          <w:b w:val="0"/>
          <w:sz w:val="22"/>
          <w:szCs w:val="22"/>
        </w:rPr>
        <w:t>In the following, we present results for 164, 154 and 144dB MCL.</w:t>
      </w:r>
      <w:r w:rsidR="00CA7B1E">
        <w:rPr>
          <w:b w:val="0"/>
          <w:sz w:val="22"/>
          <w:szCs w:val="22"/>
        </w:rPr>
        <w:t xml:space="preserve"> The results are shown in Figures 1-3.</w:t>
      </w:r>
    </w:p>
    <w:p w14:paraId="38D765B0" w14:textId="77777777" w:rsidR="001A1D1C" w:rsidRDefault="001A1D1C" w:rsidP="0047204B">
      <w:pPr>
        <w:pStyle w:val="LGTdoc1"/>
        <w:spacing w:beforeLines="0" w:before="120" w:after="220" w:afterAutospacing="0"/>
        <w:rPr>
          <w:b w:val="0"/>
          <w:sz w:val="22"/>
          <w:szCs w:val="22"/>
        </w:rPr>
      </w:pPr>
    </w:p>
    <w:p w14:paraId="39AEAB89" w14:textId="1E80BFC8" w:rsidR="001A1D1C" w:rsidRDefault="001A1D1C" w:rsidP="001A1D1C">
      <w:pPr>
        <w:pStyle w:val="LGTdoc1"/>
        <w:keepNext/>
        <w:spacing w:beforeLines="0" w:before="120" w:after="220" w:afterAutospacing="0"/>
        <w:ind w:left="90" w:right="-438"/>
      </w:pPr>
      <w:r w:rsidRPr="001A1D1C">
        <w:rPr>
          <w:noProof/>
          <w:lang w:eastAsia="en-US"/>
        </w:rPr>
        <w:t xml:space="preserve"> </w:t>
      </w:r>
      <w:r w:rsidR="00BC099F">
        <w:rPr>
          <w:noProof/>
          <w:lang w:eastAsia="en-US"/>
        </w:rPr>
        <w:drawing>
          <wp:inline distT="0" distB="0" distL="0" distR="0" wp14:anchorId="4D1B815B" wp14:editId="0EF78FE3">
            <wp:extent cx="2901949" cy="218290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915249" cy="2192906"/>
                    </a:xfrm>
                    <a:prstGeom prst="rect">
                      <a:avLst/>
                    </a:prstGeom>
                  </pic:spPr>
                </pic:pic>
              </a:graphicData>
            </a:graphic>
          </wp:inline>
        </w:drawing>
      </w:r>
      <w:r w:rsidR="00BC099F" w:rsidRPr="00BC099F">
        <w:rPr>
          <w:noProof/>
          <w:lang w:eastAsia="en-US"/>
        </w:rPr>
        <w:t xml:space="preserve"> </w:t>
      </w:r>
      <w:r w:rsidR="00BC099F">
        <w:rPr>
          <w:noProof/>
          <w:lang w:eastAsia="en-US"/>
        </w:rPr>
        <w:drawing>
          <wp:inline distT="0" distB="0" distL="0" distR="0" wp14:anchorId="6E1C35F2" wp14:editId="4A4B0EAC">
            <wp:extent cx="2871343" cy="215988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2887634" cy="2172135"/>
                    </a:xfrm>
                    <a:prstGeom prst="rect">
                      <a:avLst/>
                    </a:prstGeom>
                  </pic:spPr>
                </pic:pic>
              </a:graphicData>
            </a:graphic>
          </wp:inline>
        </w:drawing>
      </w:r>
    </w:p>
    <w:p w14:paraId="35F83368" w14:textId="0FDCF34A" w:rsidR="001A1D1C" w:rsidRDefault="001A1D1C" w:rsidP="001A1D1C">
      <w:pPr>
        <w:pStyle w:val="Caption"/>
        <w:jc w:val="center"/>
      </w:pPr>
      <w:r>
        <w:t xml:space="preserve">Figure </w:t>
      </w:r>
      <w:r>
        <w:fldChar w:fldCharType="begin"/>
      </w:r>
      <w:r>
        <w:instrText xml:space="preserve"> SEQ Figure \* ARABIC </w:instrText>
      </w:r>
      <w:r>
        <w:fldChar w:fldCharType="separate"/>
      </w:r>
      <w:r w:rsidR="00CB0455">
        <w:rPr>
          <w:noProof/>
        </w:rPr>
        <w:t>3</w:t>
      </w:r>
      <w:r>
        <w:fldChar w:fldCharType="end"/>
      </w:r>
      <w:r>
        <w:t xml:space="preserve"> CDF of timing error estimation for 164dB MCL for AWGN and TU1 channels</w:t>
      </w:r>
    </w:p>
    <w:p w14:paraId="1CE05215" w14:textId="77777777" w:rsidR="001A1D1C" w:rsidRPr="001A1D1C" w:rsidRDefault="001A1D1C" w:rsidP="001A1D1C">
      <w:pPr>
        <w:rPr>
          <w:lang w:val="en-GB" w:eastAsia="en-US"/>
        </w:rPr>
      </w:pPr>
    </w:p>
    <w:p w14:paraId="0F514A79" w14:textId="134FFA8A" w:rsidR="001A1D1C" w:rsidRDefault="00BC099F" w:rsidP="001A1D1C">
      <w:pPr>
        <w:pStyle w:val="LGTdoc1"/>
        <w:keepNext/>
        <w:spacing w:beforeLines="0" w:before="120" w:after="220" w:afterAutospacing="0"/>
      </w:pPr>
      <w:r>
        <w:rPr>
          <w:noProof/>
          <w:lang w:eastAsia="en-US"/>
        </w:rPr>
        <w:drawing>
          <wp:inline distT="0" distB="0" distL="0" distR="0" wp14:anchorId="4436BFBE" wp14:editId="02EB0F8E">
            <wp:extent cx="2884786" cy="216999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2913558" cy="2191637"/>
                    </a:xfrm>
                    <a:prstGeom prst="rect">
                      <a:avLst/>
                    </a:prstGeom>
                  </pic:spPr>
                </pic:pic>
              </a:graphicData>
            </a:graphic>
          </wp:inline>
        </w:drawing>
      </w:r>
      <w:r w:rsidRPr="00BC099F">
        <w:rPr>
          <w:noProof/>
          <w:lang w:eastAsia="en-US"/>
        </w:rPr>
        <w:t xml:space="preserve"> </w:t>
      </w:r>
      <w:r>
        <w:rPr>
          <w:noProof/>
          <w:lang w:eastAsia="en-US"/>
        </w:rPr>
        <w:drawing>
          <wp:inline distT="0" distB="0" distL="0" distR="0" wp14:anchorId="46339432" wp14:editId="7B3F60A2">
            <wp:extent cx="2900150" cy="218155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2908342" cy="2187712"/>
                    </a:xfrm>
                    <a:prstGeom prst="rect">
                      <a:avLst/>
                    </a:prstGeom>
                  </pic:spPr>
                </pic:pic>
              </a:graphicData>
            </a:graphic>
          </wp:inline>
        </w:drawing>
      </w:r>
    </w:p>
    <w:p w14:paraId="6B394D66" w14:textId="2EFBE069" w:rsidR="001A1D1C" w:rsidRDefault="001A1D1C" w:rsidP="001A1D1C">
      <w:pPr>
        <w:pStyle w:val="Caption"/>
        <w:jc w:val="center"/>
        <w:rPr>
          <w:b w:val="0"/>
          <w:sz w:val="22"/>
          <w:szCs w:val="22"/>
        </w:rPr>
      </w:pPr>
      <w:r>
        <w:t xml:space="preserve">Figure </w:t>
      </w:r>
      <w:r>
        <w:fldChar w:fldCharType="begin"/>
      </w:r>
      <w:r>
        <w:instrText xml:space="preserve"> SEQ Figure \* ARABIC </w:instrText>
      </w:r>
      <w:r>
        <w:fldChar w:fldCharType="separate"/>
      </w:r>
      <w:r w:rsidR="00CB0455">
        <w:rPr>
          <w:noProof/>
        </w:rPr>
        <w:t>4</w:t>
      </w:r>
      <w:r>
        <w:fldChar w:fldCharType="end"/>
      </w:r>
      <w:r>
        <w:t xml:space="preserve"> CDF of timing error estimation for 154dB MCL for AWGN and TU1 channels</w:t>
      </w:r>
    </w:p>
    <w:p w14:paraId="105B2AE2" w14:textId="77777777" w:rsidR="001A1D1C" w:rsidRDefault="001A1D1C" w:rsidP="0047204B">
      <w:pPr>
        <w:pStyle w:val="LGTdoc1"/>
        <w:spacing w:beforeLines="0" w:before="120" w:after="220" w:afterAutospacing="0"/>
        <w:rPr>
          <w:b w:val="0"/>
          <w:sz w:val="22"/>
          <w:szCs w:val="22"/>
        </w:rPr>
      </w:pPr>
    </w:p>
    <w:p w14:paraId="32B890A8" w14:textId="77777777" w:rsidR="001A1D1C" w:rsidRPr="00E44B40" w:rsidRDefault="001A1D1C" w:rsidP="0047204B">
      <w:pPr>
        <w:pStyle w:val="LGTdoc1"/>
        <w:spacing w:beforeLines="0" w:before="120" w:after="220" w:afterAutospacing="0"/>
        <w:rPr>
          <w:b w:val="0"/>
          <w:sz w:val="22"/>
          <w:szCs w:val="22"/>
        </w:rPr>
      </w:pPr>
    </w:p>
    <w:p w14:paraId="1227CA27" w14:textId="565F48A0" w:rsidR="001A1D1C" w:rsidRDefault="00BC099F" w:rsidP="001A1D1C">
      <w:pPr>
        <w:pStyle w:val="LGTdoc1"/>
        <w:keepNext/>
        <w:spacing w:beforeLines="0" w:before="120" w:after="220" w:afterAutospacing="0"/>
        <w:ind w:left="432"/>
      </w:pPr>
      <w:r>
        <w:rPr>
          <w:noProof/>
          <w:lang w:eastAsia="en-US"/>
        </w:rPr>
        <w:lastRenderedPageBreak/>
        <w:drawing>
          <wp:inline distT="0" distB="0" distL="0" distR="0" wp14:anchorId="6FA4DCEF" wp14:editId="2D92F0F8">
            <wp:extent cx="2739641" cy="2060812"/>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2747269" cy="2066550"/>
                    </a:xfrm>
                    <a:prstGeom prst="rect">
                      <a:avLst/>
                    </a:prstGeom>
                  </pic:spPr>
                </pic:pic>
              </a:graphicData>
            </a:graphic>
          </wp:inline>
        </w:drawing>
      </w:r>
      <w:r w:rsidRPr="00BC099F">
        <w:rPr>
          <w:noProof/>
          <w:lang w:eastAsia="en-US"/>
        </w:rPr>
        <w:t xml:space="preserve"> </w:t>
      </w:r>
      <w:r>
        <w:rPr>
          <w:noProof/>
          <w:lang w:eastAsia="en-US"/>
        </w:rPr>
        <w:drawing>
          <wp:inline distT="0" distB="0" distL="0" distR="0" wp14:anchorId="47B5D839" wp14:editId="0C6A66AD">
            <wp:extent cx="2775928" cy="2088108"/>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786116" cy="2095772"/>
                    </a:xfrm>
                    <a:prstGeom prst="rect">
                      <a:avLst/>
                    </a:prstGeom>
                  </pic:spPr>
                </pic:pic>
              </a:graphicData>
            </a:graphic>
          </wp:inline>
        </w:drawing>
      </w:r>
    </w:p>
    <w:p w14:paraId="2A6E1AE0" w14:textId="0B67D63D" w:rsidR="001A1D1C" w:rsidRDefault="001A1D1C" w:rsidP="001A1D1C">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CB0455">
        <w:rPr>
          <w:noProof/>
        </w:rPr>
        <w:t>5</w:t>
      </w:r>
      <w:r>
        <w:fldChar w:fldCharType="end"/>
      </w:r>
      <w:r>
        <w:t xml:space="preserve"> CDF of timing error estimation for 144dB MCL for AWGN and TU1 channels</w:t>
      </w:r>
    </w:p>
    <w:p w14:paraId="5D09D7AB" w14:textId="644A273C" w:rsidR="001A1D1C" w:rsidRDefault="00CA7B1E" w:rsidP="00CA7B1E">
      <w:pPr>
        <w:pStyle w:val="LGTdoc1"/>
        <w:spacing w:beforeLines="0" w:before="120" w:after="220" w:afterAutospacing="0"/>
        <w:rPr>
          <w:b w:val="0"/>
          <w:sz w:val="22"/>
          <w:szCs w:val="22"/>
        </w:rPr>
      </w:pPr>
      <w:r>
        <w:rPr>
          <w:b w:val="0"/>
          <w:sz w:val="22"/>
          <w:szCs w:val="22"/>
        </w:rPr>
        <w:t>From these results, we make the following observations:</w:t>
      </w:r>
    </w:p>
    <w:p w14:paraId="3A5ADA71" w14:textId="5B2A1F56" w:rsidR="00601237" w:rsidRDefault="00601237" w:rsidP="00601237">
      <w:pPr>
        <w:pStyle w:val="LGTdoc1"/>
        <w:numPr>
          <w:ilvl w:val="0"/>
          <w:numId w:val="11"/>
        </w:numPr>
        <w:spacing w:beforeLines="0" w:before="120" w:after="220" w:afterAutospacing="0"/>
        <w:rPr>
          <w:b w:val="0"/>
          <w:sz w:val="22"/>
          <w:szCs w:val="22"/>
        </w:rPr>
      </w:pPr>
      <w:r>
        <w:rPr>
          <w:b w:val="0"/>
          <w:sz w:val="22"/>
          <w:szCs w:val="22"/>
        </w:rPr>
        <w:t>For AWGN channel, an increase on the number of repetitions also increases the accuracy.</w:t>
      </w:r>
      <w:r w:rsidR="00A61C6D">
        <w:rPr>
          <w:b w:val="0"/>
          <w:sz w:val="22"/>
          <w:szCs w:val="22"/>
        </w:rPr>
        <w:t xml:space="preserve"> This behaviour is not observed in TU1 channel for 144dB MCL, where the bias due to multipath and low bandwidth dominates the error.</w:t>
      </w:r>
    </w:p>
    <w:p w14:paraId="1EA5D6B2" w14:textId="668092DD" w:rsidR="00A61C6D" w:rsidRDefault="00A61C6D" w:rsidP="00601237">
      <w:pPr>
        <w:pStyle w:val="LGTdoc1"/>
        <w:numPr>
          <w:ilvl w:val="0"/>
          <w:numId w:val="11"/>
        </w:numPr>
        <w:spacing w:beforeLines="0" w:before="120" w:after="220" w:afterAutospacing="0"/>
        <w:rPr>
          <w:b w:val="0"/>
          <w:sz w:val="22"/>
          <w:szCs w:val="22"/>
        </w:rPr>
      </w:pPr>
      <w:r>
        <w:rPr>
          <w:b w:val="0"/>
          <w:sz w:val="22"/>
          <w:szCs w:val="22"/>
        </w:rPr>
        <w:t>For the worst case coverage, observation of 870ms achieves an accuracy of around 0.25us (75m). For an increased accuracy of ~0.1us (30m), around 7s of observation are needed.</w:t>
      </w:r>
    </w:p>
    <w:p w14:paraId="691311F3" w14:textId="38115E38" w:rsidR="00CA7B1E" w:rsidRDefault="00CA7B1E" w:rsidP="00CA7B1E">
      <w:pPr>
        <w:pStyle w:val="LGTdoc1"/>
        <w:spacing w:beforeLines="0" w:before="120" w:after="220" w:afterAutospacing="0"/>
        <w:rPr>
          <w:b w:val="0"/>
          <w:sz w:val="22"/>
          <w:szCs w:val="22"/>
          <w:lang w:val="en-US"/>
        </w:rPr>
      </w:pPr>
      <w:r>
        <w:rPr>
          <w:b w:val="0"/>
          <w:sz w:val="22"/>
          <w:szCs w:val="22"/>
          <w:lang w:val="en-US"/>
        </w:rPr>
        <w:t>In Table 2 we provide tabulated results for the</w:t>
      </w:r>
      <w:r w:rsidR="007F47A6">
        <w:rPr>
          <w:b w:val="0"/>
          <w:sz w:val="22"/>
          <w:szCs w:val="22"/>
          <w:lang w:val="en-US"/>
        </w:rPr>
        <w:t xml:space="preserve"> 90% accuracy for different coverage levels and channel models.</w:t>
      </w:r>
    </w:p>
    <w:p w14:paraId="734AF162" w14:textId="6DF395A3" w:rsidR="00CA7B1E" w:rsidRDefault="00CA7B1E" w:rsidP="00CA7B1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w:t>
      </w:r>
      <w:r w:rsidR="007F47A6">
        <w:t xml:space="preserve"> (in us)</w:t>
      </w:r>
      <w:r>
        <w:t>, repetition number and channel model</w:t>
      </w:r>
    </w:p>
    <w:tbl>
      <w:tblPr>
        <w:tblStyle w:val="TableGrid"/>
        <w:tblW w:w="0" w:type="auto"/>
        <w:tblLook w:val="04A0" w:firstRow="1" w:lastRow="0" w:firstColumn="1" w:lastColumn="0" w:noHBand="0" w:noVBand="1"/>
      </w:tblPr>
      <w:tblGrid>
        <w:gridCol w:w="3120"/>
        <w:gridCol w:w="3121"/>
        <w:gridCol w:w="3121"/>
      </w:tblGrid>
      <w:tr w:rsidR="00CA7B1E" w14:paraId="5B9C13CC" w14:textId="77777777" w:rsidTr="00CA7B1E">
        <w:tc>
          <w:tcPr>
            <w:tcW w:w="3120" w:type="dxa"/>
          </w:tcPr>
          <w:p w14:paraId="4E097761" w14:textId="77777777" w:rsidR="00CA7B1E" w:rsidRPr="00CA7B1E" w:rsidRDefault="00CA7B1E" w:rsidP="00CA7B1E">
            <w:pPr>
              <w:pStyle w:val="LGTdoc1"/>
              <w:spacing w:beforeLines="0" w:before="120" w:after="220" w:afterAutospacing="0"/>
              <w:rPr>
                <w:b w:val="0"/>
                <w:sz w:val="22"/>
                <w:lang w:val="en-US"/>
              </w:rPr>
            </w:pPr>
          </w:p>
        </w:tc>
        <w:tc>
          <w:tcPr>
            <w:tcW w:w="3121" w:type="dxa"/>
          </w:tcPr>
          <w:p w14:paraId="5C35A2B9" w14:textId="1E671E2A" w:rsidR="00CA7B1E" w:rsidRPr="00CA7B1E" w:rsidRDefault="00CA7B1E" w:rsidP="00CA7B1E">
            <w:pPr>
              <w:pStyle w:val="LGTdoc1"/>
              <w:spacing w:beforeLines="0" w:before="120" w:after="220" w:afterAutospacing="0"/>
              <w:rPr>
                <w:b w:val="0"/>
                <w:sz w:val="22"/>
                <w:lang w:val="en-US"/>
              </w:rPr>
            </w:pPr>
            <w:r w:rsidRPr="00CA7B1E">
              <w:rPr>
                <w:b w:val="0"/>
                <w:sz w:val="22"/>
                <w:lang w:val="en-US"/>
              </w:rPr>
              <w:t>AWGN</w:t>
            </w:r>
          </w:p>
        </w:tc>
        <w:tc>
          <w:tcPr>
            <w:tcW w:w="3121" w:type="dxa"/>
          </w:tcPr>
          <w:p w14:paraId="10B06EEC" w14:textId="74FCE854" w:rsidR="00CA7B1E" w:rsidRPr="00CA7B1E" w:rsidRDefault="00CA7B1E" w:rsidP="00CA7B1E">
            <w:pPr>
              <w:pStyle w:val="LGTdoc1"/>
              <w:spacing w:beforeLines="0" w:before="120" w:after="220" w:afterAutospacing="0"/>
              <w:rPr>
                <w:b w:val="0"/>
                <w:sz w:val="22"/>
                <w:lang w:val="en-US"/>
              </w:rPr>
            </w:pPr>
            <w:r w:rsidRPr="00CA7B1E">
              <w:rPr>
                <w:b w:val="0"/>
                <w:sz w:val="22"/>
                <w:lang w:val="en-US"/>
              </w:rPr>
              <w:t>TU1</w:t>
            </w:r>
          </w:p>
        </w:tc>
      </w:tr>
      <w:tr w:rsidR="00CA7B1E" w14:paraId="08BF2278" w14:textId="77777777" w:rsidTr="00881B80">
        <w:tc>
          <w:tcPr>
            <w:tcW w:w="3120" w:type="dxa"/>
          </w:tcPr>
          <w:p w14:paraId="2BD4F560"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68F1365B" w14:textId="335FC2DE"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164dB CL</w:t>
            </w:r>
          </w:p>
        </w:tc>
      </w:tr>
      <w:tr w:rsidR="00CA7B1E" w14:paraId="1CEA41C7" w14:textId="77777777" w:rsidTr="00CA7B1E">
        <w:tc>
          <w:tcPr>
            <w:tcW w:w="3120" w:type="dxa"/>
          </w:tcPr>
          <w:p w14:paraId="0DB05E91" w14:textId="50E878A0" w:rsidR="00CA7B1E" w:rsidRPr="00CA7B1E" w:rsidRDefault="00BC099F" w:rsidP="00BC099F">
            <w:pPr>
              <w:pStyle w:val="LGTdoc1"/>
              <w:spacing w:beforeLines="0" w:before="120" w:after="220" w:afterAutospacing="0"/>
              <w:rPr>
                <w:b w:val="0"/>
                <w:sz w:val="22"/>
                <w:lang w:val="en-US"/>
              </w:rPr>
            </w:pPr>
            <w:r>
              <w:rPr>
                <w:b w:val="0"/>
                <w:sz w:val="22"/>
                <w:lang w:val="en-US"/>
              </w:rPr>
              <w:t>870ms</w:t>
            </w:r>
          </w:p>
        </w:tc>
        <w:tc>
          <w:tcPr>
            <w:tcW w:w="3121" w:type="dxa"/>
          </w:tcPr>
          <w:p w14:paraId="422891E7" w14:textId="245F8D00" w:rsidR="00CA7B1E" w:rsidRPr="00CA7B1E" w:rsidRDefault="00BC099F" w:rsidP="007F47A6">
            <w:pPr>
              <w:pStyle w:val="LGTdoc1"/>
              <w:spacing w:beforeLines="0" w:before="120" w:after="220" w:afterAutospacing="0"/>
              <w:jc w:val="center"/>
              <w:rPr>
                <w:b w:val="0"/>
                <w:sz w:val="22"/>
                <w:lang w:val="en-US"/>
              </w:rPr>
            </w:pPr>
            <w:r>
              <w:rPr>
                <w:b w:val="0"/>
                <w:sz w:val="22"/>
                <w:lang w:val="en-US"/>
              </w:rPr>
              <w:t>[-0.25, 0.28]</w:t>
            </w:r>
            <w:r w:rsidR="007F47A6">
              <w:rPr>
                <w:b w:val="0"/>
                <w:sz w:val="22"/>
                <w:lang w:val="en-US"/>
              </w:rPr>
              <w:t>us</w:t>
            </w:r>
          </w:p>
        </w:tc>
        <w:tc>
          <w:tcPr>
            <w:tcW w:w="3121" w:type="dxa"/>
          </w:tcPr>
          <w:p w14:paraId="297231B9" w14:textId="48496EF6" w:rsidR="00CA7B1E" w:rsidRPr="00CA7B1E" w:rsidRDefault="00BC099F" w:rsidP="00BC099F">
            <w:pPr>
              <w:pStyle w:val="LGTdoc1"/>
              <w:spacing w:beforeLines="0" w:before="120" w:after="220" w:afterAutospacing="0"/>
              <w:jc w:val="center"/>
              <w:rPr>
                <w:b w:val="0"/>
                <w:sz w:val="22"/>
                <w:lang w:val="en-US"/>
              </w:rPr>
            </w:pPr>
            <w:r>
              <w:rPr>
                <w:b w:val="0"/>
                <w:sz w:val="22"/>
                <w:lang w:val="en-US"/>
              </w:rPr>
              <w:t>[-0.5, 1.7]us</w:t>
            </w:r>
          </w:p>
        </w:tc>
      </w:tr>
      <w:tr w:rsidR="00CA7B1E" w14:paraId="39FDAB6C" w14:textId="77777777" w:rsidTr="00CA7B1E">
        <w:tc>
          <w:tcPr>
            <w:tcW w:w="3120" w:type="dxa"/>
          </w:tcPr>
          <w:p w14:paraId="61EA3247" w14:textId="2FB6053F" w:rsidR="00CA7B1E" w:rsidRPr="00CA7B1E" w:rsidRDefault="00BC099F" w:rsidP="00BC099F">
            <w:pPr>
              <w:pStyle w:val="LGTdoc1"/>
              <w:spacing w:beforeLines="0" w:before="120" w:after="220" w:afterAutospacing="0"/>
              <w:rPr>
                <w:b w:val="0"/>
                <w:sz w:val="22"/>
                <w:lang w:val="en-US"/>
              </w:rPr>
            </w:pPr>
            <w:r>
              <w:rPr>
                <w:b w:val="0"/>
                <w:sz w:val="22"/>
                <w:lang w:val="en-US"/>
              </w:rPr>
              <w:t>6963ms</w:t>
            </w:r>
          </w:p>
        </w:tc>
        <w:tc>
          <w:tcPr>
            <w:tcW w:w="3121" w:type="dxa"/>
          </w:tcPr>
          <w:p w14:paraId="7097B677" w14:textId="02E9A8D1" w:rsidR="00CA7B1E" w:rsidRPr="00CA7B1E" w:rsidRDefault="00BC099F" w:rsidP="007F47A6">
            <w:pPr>
              <w:pStyle w:val="LGTdoc1"/>
              <w:spacing w:beforeLines="0" w:before="120" w:after="220" w:afterAutospacing="0"/>
              <w:jc w:val="center"/>
              <w:rPr>
                <w:b w:val="0"/>
                <w:sz w:val="22"/>
                <w:lang w:val="en-US"/>
              </w:rPr>
            </w:pPr>
            <w:r>
              <w:rPr>
                <w:b w:val="0"/>
                <w:sz w:val="22"/>
                <w:lang w:val="en-US"/>
              </w:rPr>
              <w:t>[-0.09, 0.11]us</w:t>
            </w:r>
          </w:p>
        </w:tc>
        <w:tc>
          <w:tcPr>
            <w:tcW w:w="3121" w:type="dxa"/>
          </w:tcPr>
          <w:p w14:paraId="073FE9EC" w14:textId="4432B48D" w:rsidR="00CA7B1E" w:rsidRPr="00CA7B1E" w:rsidRDefault="00BC099F" w:rsidP="007F47A6">
            <w:pPr>
              <w:pStyle w:val="LGTdoc1"/>
              <w:spacing w:beforeLines="0" w:before="120" w:after="220" w:afterAutospacing="0"/>
              <w:jc w:val="center"/>
              <w:rPr>
                <w:b w:val="0"/>
                <w:sz w:val="22"/>
                <w:lang w:val="en-US"/>
              </w:rPr>
            </w:pPr>
            <w:r>
              <w:rPr>
                <w:b w:val="0"/>
                <w:sz w:val="22"/>
                <w:lang w:val="en-US"/>
              </w:rPr>
              <w:t>[0.3, 0.7]us</w:t>
            </w:r>
          </w:p>
        </w:tc>
      </w:tr>
      <w:tr w:rsidR="00CA7B1E" w14:paraId="440CA5A6" w14:textId="77777777" w:rsidTr="00B058C1">
        <w:tc>
          <w:tcPr>
            <w:tcW w:w="3120" w:type="dxa"/>
          </w:tcPr>
          <w:p w14:paraId="53A619E9"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0A10DD76" w14:textId="32AAF526"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154dB CL</w:t>
            </w:r>
          </w:p>
        </w:tc>
      </w:tr>
      <w:tr w:rsidR="00CA7B1E" w:rsidRPr="007F47A6" w14:paraId="26DCA980" w14:textId="77777777" w:rsidTr="00CA7B1E">
        <w:tc>
          <w:tcPr>
            <w:tcW w:w="3120" w:type="dxa"/>
          </w:tcPr>
          <w:p w14:paraId="343BAA78" w14:textId="4C561887" w:rsidR="00CA7B1E" w:rsidRPr="007F47A6" w:rsidRDefault="00BC099F" w:rsidP="00BC099F">
            <w:pPr>
              <w:pStyle w:val="LGTdoc1"/>
              <w:spacing w:beforeLines="0" w:before="120" w:after="220" w:afterAutospacing="0"/>
              <w:rPr>
                <w:b w:val="0"/>
                <w:sz w:val="22"/>
                <w:lang w:val="en-US"/>
              </w:rPr>
            </w:pPr>
            <w:r>
              <w:rPr>
                <w:b w:val="0"/>
                <w:sz w:val="22"/>
                <w:lang w:val="en-US"/>
              </w:rPr>
              <w:t>217ms</w:t>
            </w:r>
          </w:p>
        </w:tc>
        <w:tc>
          <w:tcPr>
            <w:tcW w:w="3121" w:type="dxa"/>
          </w:tcPr>
          <w:p w14:paraId="70079D46" w14:textId="74167C20" w:rsidR="00CA7B1E" w:rsidRPr="007F47A6" w:rsidRDefault="00BC099F" w:rsidP="00BC099F">
            <w:pPr>
              <w:pStyle w:val="LGTdoc1"/>
              <w:spacing w:beforeLines="0" w:before="120" w:after="220" w:afterAutospacing="0"/>
              <w:jc w:val="center"/>
              <w:rPr>
                <w:b w:val="0"/>
                <w:sz w:val="22"/>
                <w:lang w:val="en-US"/>
              </w:rPr>
            </w:pPr>
            <w:r>
              <w:rPr>
                <w:b w:val="0"/>
                <w:sz w:val="22"/>
                <w:lang w:val="en-US"/>
              </w:rPr>
              <w:t>[-0.14, 0.16]us</w:t>
            </w:r>
          </w:p>
        </w:tc>
        <w:tc>
          <w:tcPr>
            <w:tcW w:w="3121" w:type="dxa"/>
          </w:tcPr>
          <w:p w14:paraId="6F2984E8" w14:textId="57FB918F" w:rsidR="00CA7B1E" w:rsidRPr="007F47A6" w:rsidRDefault="00BC099F" w:rsidP="007F47A6">
            <w:pPr>
              <w:pStyle w:val="LGTdoc1"/>
              <w:spacing w:beforeLines="0" w:before="120" w:after="220" w:afterAutospacing="0"/>
              <w:jc w:val="center"/>
              <w:rPr>
                <w:b w:val="0"/>
                <w:sz w:val="22"/>
                <w:lang w:val="en-US"/>
              </w:rPr>
            </w:pPr>
            <w:r>
              <w:rPr>
                <w:b w:val="0"/>
                <w:sz w:val="22"/>
                <w:lang w:val="en-US"/>
              </w:rPr>
              <w:t>[-0.3, 1.6]us</w:t>
            </w:r>
          </w:p>
        </w:tc>
      </w:tr>
      <w:tr w:rsidR="00CA7B1E" w:rsidRPr="007F47A6" w14:paraId="6BEA9E13" w14:textId="77777777" w:rsidTr="00CA7B1E">
        <w:tc>
          <w:tcPr>
            <w:tcW w:w="3120" w:type="dxa"/>
          </w:tcPr>
          <w:p w14:paraId="7A5F58A8" w14:textId="2A7E1204" w:rsidR="00CA7B1E" w:rsidRPr="007F47A6" w:rsidRDefault="00BC099F" w:rsidP="00BC099F">
            <w:pPr>
              <w:pStyle w:val="LGTdoc1"/>
              <w:spacing w:beforeLines="0" w:before="120" w:after="220" w:afterAutospacing="0"/>
              <w:rPr>
                <w:b w:val="0"/>
                <w:sz w:val="22"/>
                <w:lang w:val="en-US"/>
              </w:rPr>
            </w:pPr>
            <w:r>
              <w:rPr>
                <w:b w:val="0"/>
                <w:sz w:val="22"/>
                <w:lang w:val="en-US"/>
              </w:rPr>
              <w:t>1741ms</w:t>
            </w:r>
          </w:p>
        </w:tc>
        <w:tc>
          <w:tcPr>
            <w:tcW w:w="3121" w:type="dxa"/>
          </w:tcPr>
          <w:p w14:paraId="36D917F9" w14:textId="1DA4D7E8" w:rsidR="00CA7B1E" w:rsidRPr="007F47A6" w:rsidRDefault="00BC099F" w:rsidP="007F47A6">
            <w:pPr>
              <w:pStyle w:val="LGTdoc1"/>
              <w:spacing w:beforeLines="0" w:before="120" w:after="220" w:afterAutospacing="0"/>
              <w:jc w:val="center"/>
              <w:rPr>
                <w:b w:val="0"/>
                <w:sz w:val="22"/>
                <w:lang w:val="en-US"/>
              </w:rPr>
            </w:pPr>
            <w:r>
              <w:rPr>
                <w:b w:val="0"/>
                <w:sz w:val="22"/>
                <w:lang w:val="en-US"/>
              </w:rPr>
              <w:t>[-0.04, 0.06]us</w:t>
            </w:r>
          </w:p>
        </w:tc>
        <w:tc>
          <w:tcPr>
            <w:tcW w:w="3121" w:type="dxa"/>
          </w:tcPr>
          <w:p w14:paraId="41797782" w14:textId="690BF037" w:rsidR="00CA7B1E" w:rsidRPr="007F47A6" w:rsidRDefault="00BC099F" w:rsidP="007F47A6">
            <w:pPr>
              <w:pStyle w:val="LGTdoc1"/>
              <w:spacing w:beforeLines="0" w:before="120" w:after="220" w:afterAutospacing="0"/>
              <w:jc w:val="center"/>
              <w:rPr>
                <w:b w:val="0"/>
                <w:sz w:val="22"/>
                <w:lang w:val="en-US"/>
              </w:rPr>
            </w:pPr>
            <w:r>
              <w:rPr>
                <w:b w:val="0"/>
                <w:sz w:val="22"/>
                <w:lang w:val="en-US"/>
              </w:rPr>
              <w:t>[0, 1.3]us</w:t>
            </w:r>
          </w:p>
        </w:tc>
      </w:tr>
      <w:tr w:rsidR="00CA7B1E" w:rsidRPr="007F47A6" w14:paraId="51E31797" w14:textId="77777777" w:rsidTr="002E0B48">
        <w:tc>
          <w:tcPr>
            <w:tcW w:w="3120" w:type="dxa"/>
          </w:tcPr>
          <w:p w14:paraId="6D71BFBC" w14:textId="77777777" w:rsidR="00CA7B1E" w:rsidRPr="007F47A6" w:rsidRDefault="00CA7B1E" w:rsidP="00CA7B1E">
            <w:pPr>
              <w:pStyle w:val="LGTdoc1"/>
              <w:spacing w:beforeLines="0" w:before="120" w:after="220" w:afterAutospacing="0"/>
              <w:rPr>
                <w:b w:val="0"/>
                <w:sz w:val="22"/>
                <w:lang w:val="en-US"/>
              </w:rPr>
            </w:pPr>
          </w:p>
        </w:tc>
        <w:tc>
          <w:tcPr>
            <w:tcW w:w="6242" w:type="dxa"/>
            <w:gridSpan w:val="2"/>
          </w:tcPr>
          <w:p w14:paraId="7C513174" w14:textId="6FE43EDE" w:rsidR="00CA7B1E" w:rsidRPr="007F47A6" w:rsidRDefault="00CA7B1E" w:rsidP="00CA7B1E">
            <w:pPr>
              <w:pStyle w:val="LGTdoc1"/>
              <w:spacing w:beforeLines="0" w:before="120" w:after="220" w:afterAutospacing="0"/>
              <w:jc w:val="center"/>
              <w:rPr>
                <w:b w:val="0"/>
                <w:sz w:val="22"/>
                <w:lang w:val="en-US"/>
              </w:rPr>
            </w:pPr>
            <w:r w:rsidRPr="00CA7B1E">
              <w:rPr>
                <w:b w:val="0"/>
                <w:sz w:val="22"/>
                <w:lang w:val="en-US"/>
              </w:rPr>
              <w:t>144dB CL</w:t>
            </w:r>
          </w:p>
        </w:tc>
      </w:tr>
      <w:tr w:rsidR="00CA7B1E" w:rsidRPr="007F47A6" w14:paraId="3E794090" w14:textId="77777777" w:rsidTr="0089070D">
        <w:tc>
          <w:tcPr>
            <w:tcW w:w="3120" w:type="dxa"/>
          </w:tcPr>
          <w:p w14:paraId="60C30014" w14:textId="4970F7FB" w:rsidR="00CA7B1E" w:rsidRPr="007F47A6" w:rsidRDefault="00BC099F" w:rsidP="00CA7B1E">
            <w:pPr>
              <w:pStyle w:val="LGTdoc1"/>
              <w:spacing w:beforeLines="0" w:before="120" w:after="220" w:afterAutospacing="0"/>
              <w:rPr>
                <w:b w:val="0"/>
                <w:sz w:val="22"/>
                <w:lang w:val="en-US"/>
              </w:rPr>
            </w:pPr>
            <w:r>
              <w:rPr>
                <w:b w:val="0"/>
                <w:sz w:val="22"/>
                <w:lang w:val="en-US"/>
              </w:rPr>
              <w:t>14ms</w:t>
            </w:r>
          </w:p>
        </w:tc>
        <w:tc>
          <w:tcPr>
            <w:tcW w:w="3121" w:type="dxa"/>
          </w:tcPr>
          <w:p w14:paraId="67020DF0" w14:textId="5022DA97" w:rsidR="00CA7B1E" w:rsidRPr="00CA7B1E" w:rsidRDefault="00BC099F" w:rsidP="00BC099F">
            <w:pPr>
              <w:pStyle w:val="LGTdoc1"/>
              <w:spacing w:beforeLines="0" w:before="120" w:after="220" w:afterAutospacing="0"/>
              <w:jc w:val="center"/>
              <w:rPr>
                <w:b w:val="0"/>
                <w:sz w:val="22"/>
                <w:lang w:val="en-US"/>
              </w:rPr>
            </w:pPr>
            <w:r>
              <w:rPr>
                <w:b w:val="0"/>
                <w:sz w:val="22"/>
                <w:lang w:val="en-US"/>
              </w:rPr>
              <w:t xml:space="preserve">[-0.16, 0.18]us </w:t>
            </w:r>
          </w:p>
        </w:tc>
        <w:tc>
          <w:tcPr>
            <w:tcW w:w="3121" w:type="dxa"/>
          </w:tcPr>
          <w:p w14:paraId="33E6F607" w14:textId="5DD23D2A" w:rsidR="00CA7B1E" w:rsidRPr="00CA7B1E" w:rsidRDefault="00BC099F" w:rsidP="00CA7B1E">
            <w:pPr>
              <w:pStyle w:val="LGTdoc1"/>
              <w:spacing w:beforeLines="0" w:before="120" w:after="220" w:afterAutospacing="0"/>
              <w:jc w:val="center"/>
              <w:rPr>
                <w:b w:val="0"/>
                <w:sz w:val="22"/>
                <w:lang w:val="en-US"/>
              </w:rPr>
            </w:pPr>
            <w:r>
              <w:rPr>
                <w:b w:val="0"/>
                <w:sz w:val="22"/>
                <w:lang w:val="en-US"/>
              </w:rPr>
              <w:t>[-0.5, 1.5]us</w:t>
            </w:r>
          </w:p>
        </w:tc>
      </w:tr>
      <w:tr w:rsidR="00CA7B1E" w:rsidRPr="007F47A6" w14:paraId="1870A81E" w14:textId="77777777" w:rsidTr="0089070D">
        <w:tc>
          <w:tcPr>
            <w:tcW w:w="3120" w:type="dxa"/>
          </w:tcPr>
          <w:p w14:paraId="713EA1B7" w14:textId="0F9801A1" w:rsidR="00CA7B1E" w:rsidRPr="007F47A6" w:rsidRDefault="00BC099F" w:rsidP="00CA7B1E">
            <w:pPr>
              <w:pStyle w:val="LGTdoc1"/>
              <w:spacing w:beforeLines="0" w:before="120" w:after="220" w:afterAutospacing="0"/>
              <w:rPr>
                <w:b w:val="0"/>
                <w:sz w:val="22"/>
                <w:lang w:val="en-US"/>
              </w:rPr>
            </w:pPr>
            <w:r>
              <w:rPr>
                <w:b w:val="0"/>
                <w:sz w:val="22"/>
                <w:lang w:val="en-US"/>
              </w:rPr>
              <w:t>112ms</w:t>
            </w:r>
          </w:p>
        </w:tc>
        <w:tc>
          <w:tcPr>
            <w:tcW w:w="3121" w:type="dxa"/>
          </w:tcPr>
          <w:p w14:paraId="0ACEE856" w14:textId="6428B070" w:rsidR="00CA7B1E" w:rsidRPr="00CA7B1E" w:rsidRDefault="00BC099F" w:rsidP="007F47A6">
            <w:pPr>
              <w:pStyle w:val="LGTdoc1"/>
              <w:spacing w:beforeLines="0" w:before="120" w:after="220" w:afterAutospacing="0"/>
              <w:jc w:val="center"/>
              <w:rPr>
                <w:b w:val="0"/>
                <w:sz w:val="22"/>
                <w:lang w:val="en-US"/>
              </w:rPr>
            </w:pPr>
            <w:r>
              <w:rPr>
                <w:b w:val="0"/>
                <w:sz w:val="22"/>
                <w:lang w:val="en-US"/>
              </w:rPr>
              <w:t>[-0.04, 0.06]us</w:t>
            </w:r>
          </w:p>
        </w:tc>
        <w:tc>
          <w:tcPr>
            <w:tcW w:w="3121" w:type="dxa"/>
          </w:tcPr>
          <w:p w14:paraId="3EB3F2A6" w14:textId="65815537" w:rsidR="00CA7B1E" w:rsidRPr="00CA7B1E" w:rsidRDefault="00BC099F" w:rsidP="00CA7B1E">
            <w:pPr>
              <w:pStyle w:val="LGTdoc1"/>
              <w:spacing w:beforeLines="0" w:before="120" w:after="220" w:afterAutospacing="0"/>
              <w:jc w:val="center"/>
              <w:rPr>
                <w:b w:val="0"/>
                <w:sz w:val="22"/>
                <w:lang w:val="en-US"/>
              </w:rPr>
            </w:pPr>
            <w:r>
              <w:rPr>
                <w:b w:val="0"/>
                <w:sz w:val="22"/>
                <w:lang w:val="en-US"/>
              </w:rPr>
              <w:t>[-0.5, 1.6]us</w:t>
            </w:r>
          </w:p>
        </w:tc>
      </w:tr>
    </w:tbl>
    <w:p w14:paraId="1BA48C3E" w14:textId="77777777" w:rsidR="00CA7B1E" w:rsidRDefault="00CA7B1E" w:rsidP="00CA7B1E">
      <w:pPr>
        <w:pStyle w:val="LGTdoc1"/>
        <w:spacing w:beforeLines="0" w:before="120" w:after="220" w:afterAutospacing="0"/>
        <w:rPr>
          <w:b w:val="0"/>
          <w:sz w:val="22"/>
          <w:lang w:val="en-US"/>
        </w:rPr>
      </w:pPr>
    </w:p>
    <w:p w14:paraId="225B8471" w14:textId="62D4D87A" w:rsidR="00C872FE" w:rsidRDefault="00C872FE" w:rsidP="00CA7B1E">
      <w:pPr>
        <w:pStyle w:val="LGTdoc1"/>
        <w:spacing w:beforeLines="0" w:before="120" w:after="220" w:afterAutospacing="0"/>
        <w:rPr>
          <w:b w:val="0"/>
          <w:sz w:val="22"/>
          <w:lang w:val="en-US"/>
        </w:rPr>
      </w:pPr>
      <w:r>
        <w:rPr>
          <w:b w:val="0"/>
          <w:sz w:val="22"/>
          <w:lang w:val="en-US"/>
        </w:rPr>
        <w:t>In view of these results, we make the following observation:</w:t>
      </w:r>
    </w:p>
    <w:p w14:paraId="0AF8E8D3" w14:textId="6C50BC59" w:rsidR="00C872FE" w:rsidRPr="00C872FE" w:rsidRDefault="00C872FE" w:rsidP="00CA7B1E">
      <w:pPr>
        <w:pStyle w:val="LGTdoc1"/>
        <w:spacing w:beforeLines="0" w:before="120" w:after="220" w:afterAutospacing="0"/>
        <w:rPr>
          <w:b w:val="0"/>
          <w:sz w:val="22"/>
        </w:rPr>
      </w:pPr>
      <w:r w:rsidRPr="00E44B40">
        <w:rPr>
          <w:sz w:val="22"/>
          <w:szCs w:val="22"/>
          <w:u w:val="single"/>
        </w:rPr>
        <w:lastRenderedPageBreak/>
        <w:t xml:space="preserve">Observation </w:t>
      </w:r>
      <w:r w:rsidR="009B3B2E">
        <w:rPr>
          <w:sz w:val="22"/>
          <w:szCs w:val="22"/>
          <w:u w:val="single"/>
        </w:rPr>
        <w:t>1</w:t>
      </w:r>
      <w:r w:rsidRPr="00E44B40">
        <w:rPr>
          <w:sz w:val="22"/>
          <w:szCs w:val="22"/>
          <w:u w:val="single"/>
        </w:rPr>
        <w:t>:</w:t>
      </w:r>
      <w:r w:rsidRPr="00E44B40">
        <w:rPr>
          <w:sz w:val="22"/>
          <w:szCs w:val="22"/>
        </w:rPr>
        <w:t xml:space="preserve"> </w:t>
      </w:r>
      <w:r>
        <w:rPr>
          <w:sz w:val="22"/>
          <w:szCs w:val="22"/>
        </w:rPr>
        <w:t xml:space="preserve">For AWGN channel, increasing the number of </w:t>
      </w:r>
      <w:r w:rsidR="00BC099F">
        <w:rPr>
          <w:sz w:val="22"/>
          <w:szCs w:val="22"/>
        </w:rPr>
        <w:t>NPRS</w:t>
      </w:r>
      <w:r>
        <w:rPr>
          <w:sz w:val="22"/>
          <w:szCs w:val="22"/>
        </w:rPr>
        <w:t xml:space="preserve"> repetitions also increases the timing accuracy. For TU1 channel, a large bias (around 0.5us) is observed due to reduced bandwidth</w:t>
      </w:r>
      <w:r w:rsidR="00BC099F">
        <w:rPr>
          <w:sz w:val="22"/>
          <w:szCs w:val="22"/>
        </w:rPr>
        <w:t>, and creates an error floor.</w:t>
      </w:r>
    </w:p>
    <w:p w14:paraId="202373F7" w14:textId="6D3801D1"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Comparison with </w:t>
      </w:r>
      <w:r w:rsidR="006B0ADC">
        <w:rPr>
          <w:rFonts w:ascii="Arial" w:hAnsi="Arial" w:cs="Arial"/>
          <w:lang w:val="en-US"/>
        </w:rPr>
        <w:t>UL</w:t>
      </w:r>
      <w:r>
        <w:rPr>
          <w:rFonts w:ascii="Arial" w:hAnsi="Arial" w:cs="Arial"/>
          <w:lang w:val="en-US"/>
        </w:rPr>
        <w:t>-based positioning</w:t>
      </w:r>
    </w:p>
    <w:p w14:paraId="097CB593" w14:textId="3F99A0DC" w:rsidR="0047204B" w:rsidRDefault="0047204B" w:rsidP="0047204B">
      <w:pPr>
        <w:pStyle w:val="LGTdoc1"/>
        <w:spacing w:beforeLines="0" w:before="120" w:after="220" w:afterAutospacing="0"/>
        <w:rPr>
          <w:b w:val="0"/>
          <w:sz w:val="22"/>
          <w:szCs w:val="22"/>
        </w:rPr>
      </w:pPr>
      <w:r>
        <w:rPr>
          <w:b w:val="0"/>
          <w:sz w:val="22"/>
          <w:szCs w:val="22"/>
        </w:rPr>
        <w:t xml:space="preserve">For the sake of completeness, we provide in this contribution a comparison with the results in our companion contribution [2] for </w:t>
      </w:r>
      <w:r w:rsidR="006B0ADC">
        <w:rPr>
          <w:b w:val="0"/>
          <w:sz w:val="22"/>
          <w:szCs w:val="22"/>
        </w:rPr>
        <w:t>UL</w:t>
      </w:r>
      <w:r>
        <w:rPr>
          <w:b w:val="0"/>
          <w:sz w:val="22"/>
          <w:szCs w:val="22"/>
        </w:rPr>
        <w:t xml:space="preserve"> narrowband positioning. </w:t>
      </w:r>
    </w:p>
    <w:p w14:paraId="17EE8056" w14:textId="2720EF9F" w:rsidR="00C872FE" w:rsidRDefault="00C872FE" w:rsidP="00C872FE">
      <w:pPr>
        <w:pStyle w:val="LGTdoc1"/>
        <w:keepNext/>
        <w:spacing w:beforeLines="0" w:before="120" w:after="220" w:afterAutospacing="0"/>
      </w:pPr>
      <w:r>
        <w:rPr>
          <w:noProof/>
          <w:lang w:val="en-US" w:eastAsia="en-US"/>
        </w:rPr>
        <w:drawing>
          <wp:anchor distT="0" distB="0" distL="114300" distR="114300" simplePos="0" relativeHeight="251660288" behindDoc="0" locked="0" layoutInCell="1" allowOverlap="1" wp14:anchorId="069DDA56" wp14:editId="37982BA0">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sidR="007F47A6">
        <w:rPr>
          <w:noProof/>
          <w:lang w:val="en-US" w:eastAsia="en-US"/>
        </w:rPr>
        <w:drawing>
          <wp:inline distT="0" distB="0" distL="0" distR="0" wp14:anchorId="4C261D69" wp14:editId="114FD04F">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5"/>
                    <a:stretch>
                      <a:fillRect/>
                    </a:stretch>
                  </pic:blipFill>
                  <pic:spPr>
                    <a:xfrm>
                      <a:off x="0" y="0"/>
                      <a:ext cx="2739716" cy="2031498"/>
                    </a:xfrm>
                    <a:prstGeom prst="rect">
                      <a:avLst/>
                    </a:prstGeom>
                  </pic:spPr>
                </pic:pic>
              </a:graphicData>
            </a:graphic>
          </wp:inline>
        </w:drawing>
      </w:r>
    </w:p>
    <w:p w14:paraId="33BE2F72" w14:textId="2CDD6BB0" w:rsidR="00C872FE" w:rsidRDefault="00C872FE" w:rsidP="00C872FE">
      <w:pPr>
        <w:pStyle w:val="Caption"/>
        <w:jc w:val="center"/>
      </w:pPr>
      <w:r>
        <w:t xml:space="preserve">Figure </w:t>
      </w:r>
      <w:r>
        <w:fldChar w:fldCharType="begin"/>
      </w:r>
      <w:r>
        <w:instrText xml:space="preserve"> SEQ Figure \* ARABIC </w:instrText>
      </w:r>
      <w:r>
        <w:fldChar w:fldCharType="separate"/>
      </w:r>
      <w:r w:rsidR="00CB0455">
        <w:rPr>
          <w:noProof/>
        </w:rPr>
        <w:t>6</w:t>
      </w:r>
      <w:r>
        <w:fldChar w:fldCharType="end"/>
      </w:r>
      <w:r>
        <w:t xml:space="preserve"> Comparison between UL and DL positioning for 164dB MCL</w:t>
      </w:r>
    </w:p>
    <w:p w14:paraId="717610B4" w14:textId="076CF377" w:rsidR="00C872FE" w:rsidRDefault="007F47A6" w:rsidP="0047204B">
      <w:pPr>
        <w:pStyle w:val="LGTdoc1"/>
        <w:spacing w:beforeLines="0" w:before="120" w:after="220" w:afterAutospacing="0"/>
        <w:rPr>
          <w:noProof/>
          <w:lang w:eastAsia="en-US"/>
        </w:rPr>
      </w:pPr>
      <w:r>
        <w:rPr>
          <w:noProof/>
          <w:lang w:eastAsia="en-US"/>
        </w:rPr>
        <w:t xml:space="preserve"> </w:t>
      </w:r>
      <w:r w:rsidR="00C872FE">
        <w:rPr>
          <w:noProof/>
          <w:lang w:eastAsia="en-US"/>
        </w:rPr>
        <w:t xml:space="preserve">     </w:t>
      </w:r>
    </w:p>
    <w:p w14:paraId="618E9ECB" w14:textId="77777777" w:rsidR="00C872FE" w:rsidRDefault="00C872FE" w:rsidP="00C872FE">
      <w:pPr>
        <w:pStyle w:val="LGTdoc1"/>
        <w:keepNext/>
        <w:spacing w:beforeLines="0" w:before="120" w:after="220" w:afterAutospacing="0"/>
      </w:pPr>
      <w:r>
        <w:rPr>
          <w:noProof/>
          <w:lang w:val="en-US" w:eastAsia="en-US"/>
        </w:rPr>
        <w:drawing>
          <wp:inline distT="0" distB="0" distL="0" distR="0" wp14:anchorId="106DDAA8" wp14:editId="6243BE5E">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6"/>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C490DFC" wp14:editId="487B4A2A">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a:stretch>
                      <a:fillRect/>
                    </a:stretch>
                  </pic:blipFill>
                  <pic:spPr>
                    <a:xfrm>
                      <a:off x="0" y="0"/>
                      <a:ext cx="2676018" cy="2012954"/>
                    </a:xfrm>
                    <a:prstGeom prst="rect">
                      <a:avLst/>
                    </a:prstGeom>
                  </pic:spPr>
                </pic:pic>
              </a:graphicData>
            </a:graphic>
          </wp:inline>
        </w:drawing>
      </w:r>
    </w:p>
    <w:p w14:paraId="133F0AB7" w14:textId="45791973" w:rsidR="00C872FE" w:rsidRDefault="00C872FE" w:rsidP="00C872FE">
      <w:pPr>
        <w:pStyle w:val="Caption"/>
        <w:jc w:val="center"/>
        <w:rPr>
          <w:noProof/>
        </w:rPr>
      </w:pPr>
      <w:r>
        <w:t xml:space="preserve">Figure </w:t>
      </w:r>
      <w:r>
        <w:fldChar w:fldCharType="begin"/>
      </w:r>
      <w:r>
        <w:instrText xml:space="preserve"> SEQ Figure \* ARABIC </w:instrText>
      </w:r>
      <w:r>
        <w:fldChar w:fldCharType="separate"/>
      </w:r>
      <w:r w:rsidR="00CB0455">
        <w:rPr>
          <w:noProof/>
        </w:rPr>
        <w:t>7</w:t>
      </w:r>
      <w:r>
        <w:fldChar w:fldCharType="end"/>
      </w:r>
      <w:r>
        <w:t xml:space="preserve"> Comparison between UL and DL positioning for 154dB MCL</w:t>
      </w:r>
    </w:p>
    <w:p w14:paraId="1C3337F8" w14:textId="77777777" w:rsidR="00C872FE" w:rsidRDefault="007F47A6" w:rsidP="00C872FE">
      <w:pPr>
        <w:pStyle w:val="LGTdoc1"/>
        <w:keepNext/>
        <w:spacing w:beforeLines="0" w:before="120" w:after="220" w:afterAutospacing="0"/>
      </w:pPr>
      <w:r>
        <w:rPr>
          <w:b w:val="0"/>
          <w:sz w:val="22"/>
          <w:szCs w:val="22"/>
        </w:rPr>
        <w:br w:type="textWrapping" w:clear="all"/>
      </w:r>
      <w:r w:rsidR="00C872FE">
        <w:rPr>
          <w:noProof/>
          <w:lang w:val="en-US" w:eastAsia="en-US"/>
        </w:rPr>
        <w:drawing>
          <wp:inline distT="0" distB="0" distL="0" distR="0" wp14:anchorId="719EA910" wp14:editId="7531CAC0">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8"/>
                    <a:stretch>
                      <a:fillRect/>
                    </a:stretch>
                  </pic:blipFill>
                  <pic:spPr>
                    <a:xfrm>
                      <a:off x="0" y="0"/>
                      <a:ext cx="2745554" cy="2065260"/>
                    </a:xfrm>
                    <a:prstGeom prst="rect">
                      <a:avLst/>
                    </a:prstGeom>
                  </pic:spPr>
                </pic:pic>
              </a:graphicData>
            </a:graphic>
          </wp:inline>
        </w:drawing>
      </w:r>
      <w:r w:rsidR="00C872FE">
        <w:rPr>
          <w:noProof/>
          <w:lang w:val="en-US" w:eastAsia="en-US"/>
        </w:rPr>
        <w:drawing>
          <wp:inline distT="0" distB="0" distL="0" distR="0" wp14:anchorId="4D5F0744" wp14:editId="554C5E5F">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9"/>
                    <a:stretch>
                      <a:fillRect/>
                    </a:stretch>
                  </pic:blipFill>
                  <pic:spPr>
                    <a:xfrm>
                      <a:off x="0" y="0"/>
                      <a:ext cx="2782381" cy="2092961"/>
                    </a:xfrm>
                    <a:prstGeom prst="rect">
                      <a:avLst/>
                    </a:prstGeom>
                  </pic:spPr>
                </pic:pic>
              </a:graphicData>
            </a:graphic>
          </wp:inline>
        </w:drawing>
      </w:r>
    </w:p>
    <w:p w14:paraId="13DFC70D" w14:textId="51D23ACD" w:rsidR="007F47A6" w:rsidRDefault="00C872FE" w:rsidP="00C872FE">
      <w:pPr>
        <w:pStyle w:val="Caption"/>
        <w:jc w:val="center"/>
        <w:rPr>
          <w:b w:val="0"/>
          <w:sz w:val="22"/>
          <w:szCs w:val="22"/>
        </w:rPr>
      </w:pPr>
      <w:r>
        <w:t xml:space="preserve">Figure </w:t>
      </w:r>
      <w:r>
        <w:fldChar w:fldCharType="begin"/>
      </w:r>
      <w:r>
        <w:instrText xml:space="preserve"> SEQ Figure \* ARABIC </w:instrText>
      </w:r>
      <w:r>
        <w:fldChar w:fldCharType="separate"/>
      </w:r>
      <w:r w:rsidR="00CB0455">
        <w:rPr>
          <w:noProof/>
        </w:rPr>
        <w:t>8</w:t>
      </w:r>
      <w:r>
        <w:fldChar w:fldCharType="end"/>
      </w:r>
      <w:r>
        <w:t xml:space="preserve"> Comparison between UL and DL positioning for 144dB MCL</w:t>
      </w:r>
    </w:p>
    <w:p w14:paraId="53662826" w14:textId="79061BA1" w:rsidR="0047204B" w:rsidRDefault="00C872FE" w:rsidP="0047204B">
      <w:pPr>
        <w:pStyle w:val="LGTdoc1"/>
        <w:spacing w:beforeLines="0" w:before="120" w:after="220" w:afterAutospacing="0"/>
        <w:rPr>
          <w:b w:val="0"/>
          <w:sz w:val="22"/>
          <w:szCs w:val="22"/>
        </w:rPr>
      </w:pPr>
      <w:r>
        <w:rPr>
          <w:b w:val="0"/>
          <w:sz w:val="22"/>
          <w:szCs w:val="22"/>
        </w:rPr>
        <w:lastRenderedPageBreak/>
        <w:t>It is observed that, for the same MCL, DL based positioning achieves higher accuracy than UL based positioning for AWGN channel.</w:t>
      </w:r>
      <w:r w:rsidR="009B3B2E">
        <w:rPr>
          <w:b w:val="0"/>
          <w:sz w:val="22"/>
          <w:szCs w:val="22"/>
        </w:rPr>
        <w:t xml:space="preserve"> This is expected, since the transmit power of the eNB is larger than that of the UE.</w:t>
      </w:r>
      <w:r>
        <w:rPr>
          <w:b w:val="0"/>
          <w:sz w:val="22"/>
          <w:szCs w:val="22"/>
        </w:rPr>
        <w:t xml:space="preserve"> For TU1 channel, the bias due to reduce</w:t>
      </w:r>
      <w:r w:rsidR="00BC099F">
        <w:rPr>
          <w:b w:val="0"/>
          <w:sz w:val="22"/>
          <w:szCs w:val="22"/>
        </w:rPr>
        <w:t>d</w:t>
      </w:r>
      <w:r>
        <w:rPr>
          <w:b w:val="0"/>
          <w:sz w:val="22"/>
          <w:szCs w:val="22"/>
        </w:rPr>
        <w:t xml:space="preserve"> bandwidth dominates the error, and both offer similar performance.</w:t>
      </w:r>
    </w:p>
    <w:p w14:paraId="6DCD52AD" w14:textId="45A09F36" w:rsidR="00C872FE" w:rsidRPr="00C872FE" w:rsidRDefault="00C872FE" w:rsidP="0047204B">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9B3B2E">
        <w:rPr>
          <w:sz w:val="22"/>
          <w:szCs w:val="22"/>
          <w:u w:val="single"/>
        </w:rPr>
        <w:t>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DA6CDB1" w14:textId="77777777" w:rsidR="009B3B2E" w:rsidRPr="00C872FE" w:rsidRDefault="009B3B2E" w:rsidP="009B3B2E">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1</w:t>
      </w:r>
      <w:r w:rsidRPr="00E44B40">
        <w:rPr>
          <w:sz w:val="22"/>
          <w:szCs w:val="22"/>
          <w:u w:val="single"/>
        </w:rPr>
        <w:t>:</w:t>
      </w:r>
      <w:r w:rsidRPr="00E44B40">
        <w:rPr>
          <w:sz w:val="22"/>
          <w:szCs w:val="22"/>
        </w:rPr>
        <w:t xml:space="preserve"> </w:t>
      </w:r>
      <w:r>
        <w:rPr>
          <w:sz w:val="22"/>
          <w:szCs w:val="22"/>
        </w:rPr>
        <w:t>For AWGN channel, increasing the number of NPRS repetitions also increases the timing accuracy. For TU1 channel, a large bias (around 0.5us) is observed due to reduced bandwidth, and creates an error floor.</w:t>
      </w:r>
    </w:p>
    <w:p w14:paraId="05FD91A2" w14:textId="77777777" w:rsidR="009B3B2E" w:rsidRPr="00C872FE" w:rsidRDefault="009B3B2E" w:rsidP="009B3B2E">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bookmarkEnd w:id="0"/>
    <w:bookmarkEnd w:id="1"/>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0E516293" w14:textId="416E2BBD" w:rsidR="0047204B" w:rsidRDefault="0047204B" w:rsidP="00FF47FD">
      <w:pPr>
        <w:pStyle w:val="LGTdoc1"/>
        <w:spacing w:before="120" w:after="220"/>
        <w:rPr>
          <w:b w:val="0"/>
          <w:sz w:val="22"/>
          <w:szCs w:val="22"/>
        </w:rPr>
      </w:pPr>
      <w:r>
        <w:rPr>
          <w:b w:val="0"/>
          <w:sz w:val="22"/>
          <w:szCs w:val="22"/>
        </w:rPr>
        <w:t xml:space="preserve">[2] </w:t>
      </w:r>
      <w:r w:rsidRPr="0047204B">
        <w:rPr>
          <w:b w:val="0"/>
          <w:sz w:val="22"/>
          <w:szCs w:val="22"/>
        </w:rPr>
        <w:t>R1-16630</w:t>
      </w:r>
      <w:r w:rsidR="006B0ADC">
        <w:rPr>
          <w:b w:val="0"/>
          <w:sz w:val="22"/>
          <w:szCs w:val="22"/>
        </w:rPr>
        <w:t>2</w:t>
      </w:r>
      <w:r>
        <w:rPr>
          <w:b w:val="0"/>
          <w:sz w:val="22"/>
          <w:szCs w:val="22"/>
        </w:rPr>
        <w:t>, “</w:t>
      </w:r>
      <w:r w:rsidR="006B0ADC">
        <w:rPr>
          <w:b w:val="0"/>
          <w:sz w:val="22"/>
          <w:szCs w:val="22"/>
        </w:rPr>
        <w:t>Downlink</w:t>
      </w:r>
      <w:r>
        <w:rPr>
          <w:b w:val="0"/>
          <w:sz w:val="22"/>
          <w:szCs w:val="22"/>
        </w:rPr>
        <w:t>-based narrowband positioning”, Qualcomm, RAN1#86</w:t>
      </w:r>
    </w:p>
    <w:sectPr w:rsidR="0047204B" w:rsidSect="00B47B85">
      <w:footerReference w:type="even" r:id="rId30"/>
      <w:footerReference w:type="defaul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D8DD6" w14:textId="77777777" w:rsidR="00C60AD7" w:rsidRDefault="00C60AD7">
      <w:r>
        <w:separator/>
      </w:r>
    </w:p>
  </w:endnote>
  <w:endnote w:type="continuationSeparator" w:id="0">
    <w:p w14:paraId="754B2D45" w14:textId="77777777" w:rsidR="00C60AD7" w:rsidRDefault="00C60AD7">
      <w:r>
        <w:continuationSeparator/>
      </w:r>
    </w:p>
  </w:endnote>
  <w:endnote w:type="continuationNotice" w:id="1">
    <w:p w14:paraId="1567910E" w14:textId="77777777" w:rsidR="00C60AD7" w:rsidRDefault="00C60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3F2A">
      <w:rPr>
        <w:rStyle w:val="PageNumber"/>
        <w:noProof/>
      </w:rPr>
      <w:t>5</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DB602" w14:textId="77777777" w:rsidR="00C60AD7" w:rsidRDefault="00C60AD7">
      <w:r>
        <w:separator/>
      </w:r>
    </w:p>
  </w:footnote>
  <w:footnote w:type="continuationSeparator" w:id="0">
    <w:p w14:paraId="421C476C" w14:textId="77777777" w:rsidR="00C60AD7" w:rsidRDefault="00C60AD7">
      <w:r>
        <w:continuationSeparator/>
      </w:r>
    </w:p>
  </w:footnote>
  <w:footnote w:type="continuationNotice" w:id="1">
    <w:p w14:paraId="0500F50B" w14:textId="77777777" w:rsidR="00C60AD7" w:rsidRDefault="00C60AD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6B82579"/>
    <w:multiLevelType w:val="hybridMultilevel"/>
    <w:tmpl w:val="2800D200"/>
    <w:lvl w:ilvl="0" w:tplc="66E861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22415"/>
    <w:multiLevelType w:val="hybridMultilevel"/>
    <w:tmpl w:val="B7501E1C"/>
    <w:lvl w:ilvl="0" w:tplc="099261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7"/>
  </w:num>
  <w:num w:numId="4">
    <w:abstractNumId w:val="9"/>
  </w:num>
  <w:num w:numId="5">
    <w:abstractNumId w:val="10"/>
  </w:num>
  <w:num w:numId="6">
    <w:abstractNumId w:val="0"/>
  </w:num>
  <w:num w:numId="7">
    <w:abstractNumId w:val="11"/>
  </w:num>
  <w:num w:numId="8">
    <w:abstractNumId w:val="8"/>
  </w:num>
  <w:num w:numId="9">
    <w:abstractNumId w:val="2"/>
  </w:num>
  <w:num w:numId="10">
    <w:abstractNumId w:val="4"/>
  </w:num>
  <w:num w:numId="11">
    <w:abstractNumId w:val="1"/>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37"/>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2E4"/>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0ADC"/>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3F2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1FD7"/>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3B2E"/>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2D5"/>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C6D"/>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624"/>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99F"/>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FEF"/>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AD7"/>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0455"/>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51B"/>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797"/>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F90797F6-C15C-45BA-AD59-A9FFF5CB2944}">
  <ds:schemaRefs>
    <ds:schemaRef ds:uri="http://schemas.openxmlformats.org/officeDocument/2006/bibliography"/>
  </ds:schemaRefs>
</ds:datastoreItem>
</file>

<file path=customXml/itemProps7.xml><?xml version="1.0" encoding="utf-8"?>
<ds:datastoreItem xmlns:ds="http://schemas.openxmlformats.org/officeDocument/2006/customXml" ds:itemID="{B0CA8562-1DC0-4D62-9A7A-CCB5939B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6</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34</cp:revision>
  <cp:lastPrinted>2010-08-13T21:54:00Z</cp:lastPrinted>
  <dcterms:created xsi:type="dcterms:W3CDTF">2016-03-22T22:35:00Z</dcterms:created>
  <dcterms:modified xsi:type="dcterms:W3CDTF">2016-08-12T02:36:00Z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